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pStyle w:val="Heading1"/>
        <w:rPr/>
      </w:pPr>
      <w:bookmarkStart w:colFirst="0" w:colLast="0" w:name="_49h4jj7qufbs" w:id="0"/>
      <w:bookmarkEnd w:id="0"/>
      <w:r w:rsidDel="00000000" w:rsidR="00000000" w:rsidRPr="00000000">
        <w:rPr>
          <w:rtl w:val="0"/>
        </w:rPr>
        <w:t xml:space="preserve">Question Review — Science, Class 10</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ℹ Total Questions: 25   |   Accepted: 1   |   Rejected: 11   |   Modified: 13   |   Pending: 0</w:t>
      </w:r>
    </w:p>
    <w:p w:rsidR="00000000" w:rsidDel="00000000" w:rsidP="00000000" w:rsidRDefault="00000000" w:rsidRPr="00000000" w14:paraId="00000004">
      <w:pPr>
        <w:pStyle w:val="Heading2"/>
        <w:rPr/>
      </w:pPr>
      <w:bookmarkStart w:colFirst="0" w:colLast="0" w:name="_h6ywttduks3i" w:id="1"/>
      <w:bookmarkEnd w:id="1"/>
      <w:r w:rsidDel="00000000" w:rsidR="00000000" w:rsidRPr="00000000">
        <w:rPr>
          <w:rtl w:val="0"/>
        </w:rPr>
        <w:t xml:space="preserve">Question ID: SCI-G10-20260809-1F8832</w:t>
      </w:r>
    </w:p>
    <w:tbl>
      <w:tblPr>
        <w:tblStyle w:val="Table1"/>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7.25"/>
        <w:gridCol w:w="2617.25"/>
        <w:gridCol w:w="2617.25"/>
        <w:gridCol w:w="2617.25"/>
        <w:tblGridChange w:id="0">
          <w:tblGrid>
            <w:gridCol w:w="2617.25"/>
            <w:gridCol w:w="2617.25"/>
            <w:gridCol w:w="2617.25"/>
            <w:gridCol w:w="2617.25"/>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Subject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Class</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DoK Level</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Marks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Science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w:t>
            </w:r>
          </w:p>
        </w:tc>
      </w:tr>
    </w:tbl>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2"/>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9"/>
        <w:tblGridChange w:id="0">
          <w:tblGrid>
            <w:gridCol w:w="10469"/>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Curricular Goal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C-3.1</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Competency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C-3.1: Explains the structure of the neuron and the role of the synapse in determining the direction of impulse transmission between neurons. (Neurons and nervous tissue; structure and function of nerve cells)</w:t>
            </w:r>
          </w:p>
        </w:tc>
      </w:tr>
    </w:tbl>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3"/>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Fonts w:ascii="Arial Unicode MS" w:cs="Arial Unicode MS" w:eastAsia="Arial Unicode MS" w:hAnsi="Arial Unicode MS"/>
                <w:rtl w:val="0"/>
              </w:rPr>
              <w:t xml:space="preserve">In a chain of three neurons (Neuron 1 → Neuron 2 → Neuron 3), an impulse generated in Neuron 1 successfully reaches Neuron 3, but an impulse artificially started in Neuron 3 does NOT travel back to Neuron 1.</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Image Required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No</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Prompt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Which explanation BEST accounts for this one-way transmission?</w:t>
            </w:r>
          </w:p>
        </w:tc>
      </w:tr>
    </w:tbl>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4"/>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Correct Answer</w:t>
            </w:r>
          </w:p>
        </w:tc>
        <w:tc>
          <w:tcP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At the synapse signals cannot cross the gap in reverse.</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Fonts w:ascii="Arial Unicode MS" w:cs="Arial Unicode MS" w:eastAsia="Arial Unicode MS" w:hAnsi="Arial Unicode MS"/>
                <w:rtl w:val="0"/>
              </w:rPr>
              <w:t xml:space="preserve">Requires linking the structural arrangement of the synapse (axon terminal → chemical release → dendrite of next neuron) to the functional outcome of one-way signal flow. Tests conceptual interpretation of how structure enforces direction, not mere recall of synapse as a 'gap'.</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Axons can only carry electrical impulses in the forward direction due to their length.</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Length-based misconception: Students may assume directionality is a property of axon length or the electrical impulse itself, rather than the chemical, one-way release mechanism at the synapse. Tests whether students locate the true cause of unidirectionality at the synapse, not within the axon.</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Dendrites are too short to carry an impulse backward.</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Structural size misconception: Students may incorrectly attribute directionality to the relative size of dendrites versus axons rather than to the chemical signalling mechanism at the synapse. Tests whether students understand the synapse mechanism rather than guessing based on structure size.</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The cell body blocks the impulse travelling back towards the dendrite.</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Cell body misconception: Students may believe the cell body actively 'blocks' reverse signals, confusing it with an active gatekeeping role it does not perform. Tests whether students correctly identify the synapse (not the cell body) as the structure responsible for one-way transmission.</w:t>
            </w:r>
          </w:p>
        </w:tc>
      </w:tr>
    </w:tbl>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80" w:line="276" w:lineRule="auto"/>
        <w:ind w:left="0" w:right="0" w:firstLine="0"/>
        <w:jc w:val="left"/>
        <w:rPr>
          <w:b w:val="1"/>
          <w:bCs w:val="1"/>
        </w:rPr>
      </w:pPr>
      <w:r w:rsidDel="00000000" w:rsidR="00000000" w:rsidRPr="00000000">
        <w:rPr>
          <w:b w:val="1"/>
          <w:bCs w:val="1"/>
          <w:rtl w:val="0"/>
        </w:rPr>
        <w:t xml:space="preserve">Decision — mark x in the box next to your choice:</w:t>
      </w:r>
    </w:p>
    <w:tbl>
      <w:tblPr>
        <w:tblStyle w:val="Table5"/>
        <w:tblW w:w="81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900"/>
        <w:gridCol w:w="1800"/>
        <w:gridCol w:w="900"/>
        <w:gridCol w:w="1800"/>
        <w:gridCol w:w="900"/>
        <w:tblGridChange w:id="0">
          <w:tblGrid>
            <w:gridCol w:w="1800"/>
            <w:gridCol w:w="900"/>
            <w:gridCol w:w="1800"/>
            <w:gridCol w:w="900"/>
            <w:gridCol w:w="1800"/>
            <w:gridCol w:w="9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Accepted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Modified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Rejected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r>
    </w:tbl>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5">
      <w:pPr>
        <w:pStyle w:val="Heading2"/>
        <w:rPr/>
      </w:pPr>
      <w:bookmarkStart w:colFirst="0" w:colLast="0" w:name="_rhgkrrk1in14" w:id="2"/>
      <w:bookmarkEnd w:id="2"/>
      <w:r w:rsidDel="00000000" w:rsidR="00000000" w:rsidRPr="00000000">
        <w:rPr>
          <w:rtl w:val="0"/>
        </w:rPr>
        <w:t xml:space="preserve">Question ID: SCI-G10-20260809-8D8BAA</w:t>
      </w:r>
    </w:p>
    <w:tbl>
      <w:tblPr>
        <w:tblStyle w:val="Table6"/>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7.25"/>
        <w:gridCol w:w="2617.25"/>
        <w:gridCol w:w="2617.25"/>
        <w:gridCol w:w="2617.25"/>
        <w:tblGridChange w:id="0">
          <w:tblGrid>
            <w:gridCol w:w="2617.25"/>
            <w:gridCol w:w="2617.25"/>
            <w:gridCol w:w="2617.25"/>
            <w:gridCol w:w="2617.25"/>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Subject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Class</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DoK Level</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Marks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Science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w:t>
            </w:r>
          </w:p>
        </w:tc>
      </w:tr>
    </w:tbl>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7"/>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9"/>
        <w:tblGridChange w:id="0">
          <w:tblGrid>
            <w:gridCol w:w="10469"/>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Curricular Goal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C-3.2</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Competency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Analyses similarities and differences in life processes associated with reproduction — asexual reproduction methods including fission, budding, and fragmentation.</w:t>
            </w:r>
          </w:p>
        </w:tc>
      </w:tr>
    </w:tbl>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8"/>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Study the table below describing two organisms and their reproduction:</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Image Required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rPr/>
            </w:pPr>
            <w:r w:rsidDel="00000000" w:rsidR="00000000" w:rsidRPr="00000000">
              <w:rPr>
                <w:rtl w:val="0"/>
              </w:rPr>
            </w:r>
          </w:p>
          <w:tbl>
            <w:tblPr>
              <w:tblStyle w:val="Table9"/>
              <w:tblW w:w="7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00"/>
              <w:gridCol w:w="3900"/>
              <w:tblGridChange w:id="0">
                <w:tblGrid>
                  <w:gridCol w:w="3900"/>
                  <w:gridCol w:w="39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rPr>
                      <w:b w:val="1"/>
                      <w:bCs w:val="1"/>
                    </w:rPr>
                  </w:pPr>
                  <w:r w:rsidDel="00000000" w:rsidR="00000000" w:rsidRPr="00000000">
                    <w:rPr>
                      <w:b w:val="1"/>
                      <w:bCs w:val="1"/>
                      <w:rtl w:val="0"/>
                    </w:rPr>
                    <w:t xml:space="preserve">Organism P</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rPr>
                      <w:b w:val="1"/>
                      <w:bCs w:val="1"/>
                    </w:rPr>
                  </w:pPr>
                  <w:r w:rsidDel="00000000" w:rsidR="00000000" w:rsidRPr="00000000">
                    <w:rPr>
                      <w:b w:val="1"/>
                      <w:bCs w:val="1"/>
                      <w:rtl w:val="0"/>
                    </w:rPr>
                    <w:t xml:space="preserve">Organism Q</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rPr/>
                  </w:pPr>
                  <w:r w:rsidDel="00000000" w:rsidR="00000000" w:rsidRPr="00000000">
                    <w:rPr>
                      <w:rtl w:val="0"/>
                    </w:rPr>
                    <w:t xml:space="preserve">Unicellular, reproduces by splitting into two equal halves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rPr/>
                  </w:pPr>
                  <w:r w:rsidDel="00000000" w:rsidR="00000000" w:rsidRPr="00000000">
                    <w:rPr>
                      <w:rtl w:val="0"/>
                    </w:rPr>
                    <w:t xml:space="preserve">Simple multicellular, reproduces when its body breaks into pieces, each growing into a new individual</w:t>
                  </w:r>
                </w:p>
              </w:tc>
            </w:tr>
          </w:tbl>
          <w:p w:rsidR="00000000" w:rsidDel="00000000" w:rsidP="00000000" w:rsidRDefault="00000000" w:rsidRPr="00000000" w14:paraId="0000004C">
            <w:pPr>
              <w:widowControl w:val="0"/>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Prompt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Which combination correctly identifies the mode of reproduction for each organism?</w:t>
            </w:r>
          </w:p>
        </w:tc>
      </w:tr>
    </w:tbl>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0"/>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Correct Answer</w:t>
            </w:r>
          </w:p>
        </w:tc>
        <w:tc>
          <w:tcP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Organism P — Binary fission; Organism Q — Fragmentation</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 marks: Requires interpreting descriptions and correctly matching each to the appropriate mode of asexual reproduction — involves applying conceptual understanding to distinguish between similar processes.</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Organism P — Multiple fission; Organism Q — Budding</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Misconception: students may confuse binary fission (splitting into two equal halves) with multiple fission (splitting into many daughter cells simultaneously), and may confuse fragmentation with budding.</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Organism P — Fragmentation; Organism Q — Binary fission</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Misconception: students may reverse the two processes — misidentifying simple splitting of a unicellular organism as fragmentation and the breaking of a multicellular body as fission.</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Organism P — Budding; Organism Q — Regeneration</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Misconception: students may confuse budding (outgrowth from a specific site) with binary fission, and confuse fragmentation with regeneration — both involve body parts growing into new individuals but differ in mechanism and context.</w:t>
            </w:r>
          </w:p>
        </w:tc>
      </w:tr>
    </w:tbl>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80" w:line="276" w:lineRule="auto"/>
        <w:ind w:left="0" w:right="0" w:firstLine="0"/>
        <w:jc w:val="left"/>
        <w:rPr>
          <w:b w:val="1"/>
          <w:bCs w:val="1"/>
        </w:rPr>
      </w:pPr>
      <w:r w:rsidDel="00000000" w:rsidR="00000000" w:rsidRPr="00000000">
        <w:rPr>
          <w:b w:val="1"/>
          <w:bCs w:val="1"/>
          <w:rtl w:val="0"/>
        </w:rPr>
        <w:t xml:space="preserve">Decision — mark x in the box next to your choice:</w:t>
      </w:r>
    </w:p>
    <w:tbl>
      <w:tblPr>
        <w:tblStyle w:val="Table11"/>
        <w:tblW w:w="81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900"/>
        <w:gridCol w:w="1800"/>
        <w:gridCol w:w="900"/>
        <w:gridCol w:w="1800"/>
        <w:gridCol w:w="900"/>
        <w:tblGridChange w:id="0">
          <w:tblGrid>
            <w:gridCol w:w="1800"/>
            <w:gridCol w:w="900"/>
            <w:gridCol w:w="1800"/>
            <w:gridCol w:w="900"/>
            <w:gridCol w:w="1800"/>
            <w:gridCol w:w="9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Accepted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Modified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Rejected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r>
    </w:tbl>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B">
      <w:pPr>
        <w:pStyle w:val="Heading2"/>
        <w:rPr/>
      </w:pPr>
      <w:bookmarkStart w:colFirst="0" w:colLast="0" w:name="_u4t31yjxzd66" w:id="3"/>
      <w:bookmarkEnd w:id="3"/>
      <w:r w:rsidDel="00000000" w:rsidR="00000000" w:rsidRPr="00000000">
        <w:rPr>
          <w:rtl w:val="0"/>
        </w:rPr>
        <w:t xml:space="preserve">Question ID: SCI-G10-20260809-B5E5C7</w:t>
      </w:r>
    </w:p>
    <w:tbl>
      <w:tblPr>
        <w:tblStyle w:val="Table12"/>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7.25"/>
        <w:gridCol w:w="2617.25"/>
        <w:gridCol w:w="2617.25"/>
        <w:gridCol w:w="2617.25"/>
        <w:tblGridChange w:id="0">
          <w:tblGrid>
            <w:gridCol w:w="2617.25"/>
            <w:gridCol w:w="2617.25"/>
            <w:gridCol w:w="2617.25"/>
            <w:gridCol w:w="2617.25"/>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Subject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Class</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DoK Level</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Marks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Science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w:t>
            </w:r>
          </w:p>
        </w:tc>
      </w:tr>
    </w:tbl>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3"/>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9"/>
        <w:tblGridChange w:id="0">
          <w:tblGrid>
            <w:gridCol w:w="10469"/>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Curricular Goal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C-3.3</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Competency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C-3.3: DNA, genes and chromosomes; Inheritance of traits</w:t>
            </w:r>
          </w:p>
        </w:tc>
      </w:tr>
    </w:tbl>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4"/>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A student states, 'Since both parents contribute equally to the genetic material of a child, each parent must contribute one copy of each gene.'</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Image Required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No</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Prompt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Which of the following correctly explains why germ cells contain only ONE copy of each gene while body cells contain TWO copies?</w:t>
            </w:r>
          </w:p>
        </w:tc>
      </w:tr>
    </w:tbl>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5"/>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Correct Answer</w:t>
            </w:r>
          </w:p>
        </w:tc>
        <w:tc>
          <w:tcP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Germ cells are formed through a special division that halves the chromosome number.</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 marks — Requires connecting the concept of equal parental contribution, chromosome pairs, and germ cell formation to explain why halving is necessary. Tests conceptual understanding beyond simple recall.</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Body cells copy genes twice during normal cell division to repair themselves.</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Students confuse DNA replication (which occurs before cell division to copy the full genome) with a supposed 'double copy' mechanism in body cells, misunderstanding what 'two copies' means in genetics.</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Germ cells lose one copy of each gene randomly to make space for the partner's contribution.</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Students may think gene reduction in germ cells is a random loss process rather than a precise halving through a regulated division, reflecting a misconception about how genetic reduction works.</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Germ cells are smaller than body cells and can only hold one copy of each gene.</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Students may use an everyday analogy of size-capacity to explain genetic content, not understanding that gene number is regulated by cell division type, not physical size of the cell.</w:t>
            </w:r>
          </w:p>
        </w:tc>
      </w:tr>
    </w:tbl>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80" w:line="276" w:lineRule="auto"/>
        <w:ind w:left="0" w:right="0" w:firstLine="0"/>
        <w:jc w:val="left"/>
        <w:rPr>
          <w:b w:val="1"/>
          <w:bCs w:val="1"/>
        </w:rPr>
      </w:pPr>
      <w:r w:rsidDel="00000000" w:rsidR="00000000" w:rsidRPr="00000000">
        <w:rPr>
          <w:b w:val="1"/>
          <w:bCs w:val="1"/>
          <w:rtl w:val="0"/>
        </w:rPr>
        <w:t xml:space="preserve">Decision — mark x in the box next to your choice:</w:t>
      </w:r>
    </w:p>
    <w:tbl>
      <w:tblPr>
        <w:tblStyle w:val="Table16"/>
        <w:tblW w:w="81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900"/>
        <w:gridCol w:w="1800"/>
        <w:gridCol w:w="900"/>
        <w:gridCol w:w="1800"/>
        <w:gridCol w:w="900"/>
        <w:tblGridChange w:id="0">
          <w:tblGrid>
            <w:gridCol w:w="1800"/>
            <w:gridCol w:w="900"/>
            <w:gridCol w:w="1800"/>
            <w:gridCol w:w="900"/>
            <w:gridCol w:w="1800"/>
            <w:gridCol w:w="9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Accepted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Modified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Rejected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r>
    </w:tbl>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C">
      <w:pPr>
        <w:pStyle w:val="Heading2"/>
        <w:rPr/>
      </w:pPr>
      <w:bookmarkStart w:colFirst="0" w:colLast="0" w:name="_5e4l5f88vuvc" w:id="4"/>
      <w:bookmarkEnd w:id="4"/>
      <w:r w:rsidDel="00000000" w:rsidR="00000000" w:rsidRPr="00000000">
        <w:rPr>
          <w:rtl w:val="0"/>
        </w:rPr>
        <w:t xml:space="preserve">Question ID: SCI-G10-20260809-96446D</w:t>
      </w:r>
    </w:p>
    <w:tbl>
      <w:tblPr>
        <w:tblStyle w:val="Table17"/>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7.25"/>
        <w:gridCol w:w="2617.25"/>
        <w:gridCol w:w="2617.25"/>
        <w:gridCol w:w="2617.25"/>
        <w:tblGridChange w:id="0">
          <w:tblGrid>
            <w:gridCol w:w="2617.25"/>
            <w:gridCol w:w="2617.25"/>
            <w:gridCol w:w="2617.25"/>
            <w:gridCol w:w="2617.25"/>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Subject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Class</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DoK Level</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Marks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Science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w:t>
            </w:r>
          </w:p>
        </w:tc>
      </w:tr>
    </w:tbl>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8"/>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9"/>
        <w:tblGridChange w:id="0">
          <w:tblGrid>
            <w:gridCol w:w="10469"/>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Curricular Goal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C-2.3</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Competency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Manipulates object position with spherical mirrors to observe image characteristics; applies understanding to real-life uses.</w:t>
            </w:r>
          </w:p>
        </w:tc>
      </w:tr>
    </w:tbl>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9"/>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Anuj is driving on a highway. The vehicle following his car begins to slow down.</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Image Required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No</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Prompt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rPr/>
            </w:pPr>
            <w:r w:rsidDel="00000000" w:rsidR="00000000" w:rsidRPr="00000000">
              <w:rPr>
                <w:rtl w:val="0"/>
              </w:rPr>
              <w:t xml:space="preserve">How does the image of that vehicle change in the rear-view mirror?</w:t>
            </w:r>
          </w:p>
        </w:tc>
      </w:tr>
    </w:tbl>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20"/>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Correct Answer</w:t>
            </w:r>
          </w:p>
        </w:tc>
        <w:tc>
          <w:tcP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The image moves closer to F and becomes smaller</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 marks: Requires connecting object distance change to image behaviour in a convex mirror (Table 9.2), applying it to a real-world context — beyond recall.</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The image moves closer to P and becomes larger</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Students confuse convex mirror behaviour with concave mirror — in a concave mirror, moving the object closer can give a larger image; students incorrectly apply this logic to the convex mirror.</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The image moves closer to F and becomes larger</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Students correctly identify that the image moves towards F as the object moves farther, but wrongly predict the image gets larger, confusing the direction of size change for convex vs. concave mirrors.</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The image remains same size but shifts behind the mirror</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Students believe that because the image is always virtual and erect in a convex mirror, its size and position never change — ignoring that both size and position do change with object distance.</w:t>
            </w:r>
          </w:p>
        </w:tc>
      </w:tr>
    </w:tbl>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80" w:line="276" w:lineRule="auto"/>
        <w:ind w:left="0" w:right="0" w:firstLine="0"/>
        <w:jc w:val="left"/>
        <w:rPr>
          <w:b w:val="1"/>
          <w:bCs w:val="1"/>
        </w:rPr>
      </w:pPr>
      <w:r w:rsidDel="00000000" w:rsidR="00000000" w:rsidRPr="00000000">
        <w:rPr>
          <w:b w:val="1"/>
          <w:bCs w:val="1"/>
          <w:rtl w:val="0"/>
        </w:rPr>
        <w:t xml:space="preserve">Decision — mark x in the box next to your choice:</w:t>
      </w:r>
    </w:p>
    <w:tbl>
      <w:tblPr>
        <w:tblStyle w:val="Table21"/>
        <w:tblW w:w="81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900"/>
        <w:gridCol w:w="1800"/>
        <w:gridCol w:w="900"/>
        <w:gridCol w:w="1800"/>
        <w:gridCol w:w="900"/>
        <w:tblGridChange w:id="0">
          <w:tblGrid>
            <w:gridCol w:w="1800"/>
            <w:gridCol w:w="900"/>
            <w:gridCol w:w="1800"/>
            <w:gridCol w:w="900"/>
            <w:gridCol w:w="1800"/>
            <w:gridCol w:w="9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Accepted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Modified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Rejected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x</w:t>
            </w:r>
          </w:p>
        </w:tc>
      </w:tr>
    </w:tbl>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What is F and P in the options?</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D">
      <w:pPr>
        <w:pStyle w:val="Heading2"/>
        <w:rPr/>
      </w:pPr>
      <w:bookmarkStart w:colFirst="0" w:colLast="0" w:name="_o4q8wj9bb4he" w:id="5"/>
      <w:bookmarkEnd w:id="5"/>
      <w:r w:rsidDel="00000000" w:rsidR="00000000" w:rsidRPr="00000000">
        <w:rPr>
          <w:rtl w:val="0"/>
        </w:rPr>
        <w:t xml:space="preserve">Question ID: SCI-G10-20260809-9F001E</w:t>
      </w:r>
    </w:p>
    <w:tbl>
      <w:tblPr>
        <w:tblStyle w:val="Table22"/>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7.25"/>
        <w:gridCol w:w="2617.25"/>
        <w:gridCol w:w="2617.25"/>
        <w:gridCol w:w="2617.25"/>
        <w:tblGridChange w:id="0">
          <w:tblGrid>
            <w:gridCol w:w="2617.25"/>
            <w:gridCol w:w="2617.25"/>
            <w:gridCol w:w="2617.25"/>
            <w:gridCol w:w="2617.25"/>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Subject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Class</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DoK Level</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Marks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Science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Level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w:t>
            </w:r>
          </w:p>
        </w:tc>
      </w:tr>
    </w:tbl>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23"/>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9"/>
        <w:tblGridChange w:id="0">
          <w:tblGrid>
            <w:gridCol w:w="10469"/>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Curricular Goal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C-2.7</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Competency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C-2.7 — Covers dispersion, scattering, rainbow formation, atmospheric refraction, blue colour of sky, twinkling of stars, spectrum and wavelength-based phenomena.</w:t>
            </w:r>
          </w:p>
        </w:tc>
      </w:tr>
    </w:tbl>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24"/>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An observer stands with the Sun directly behind them and looks towards a region of the sky where it has just rained. They notice a rainbow. The observer then walks to a different position where the Sun is now in front of them and looks at the same region of sky.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What change, if any, do they observe in the rainbow, and why?</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Image Required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No</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Prompt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An observer stands with the Sun directly behind them and looks towards a region of the sky where it has just rained. They notice a rainbow. The observer then walks to a different position where the Sun is now in front of them and looks at the same region of sky.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What change, if any, do they observe in the rainbow, and why?</w:t>
            </w:r>
          </w:p>
        </w:tc>
      </w:tr>
    </w:tbl>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25"/>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Correct Answer</w:t>
            </w:r>
          </w:p>
        </w:tc>
        <w:tc>
          <w:tcPr>
            <w:tcMar>
              <w:top w:w="100.0" w:type="dxa"/>
              <w:left w:w="100.0" w:type="dxa"/>
              <w:bottom w:w="100.0" w:type="dxa"/>
              <w:right w:w="100.0" w:type="dxa"/>
            </w:tcMar>
            <w:vAlign w:val="top"/>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The rainbow disappears or is no longer visible because a rainbow is always formed in the direction opposite to the Sun; the observer must have the Sun behind them to see the dispersed and internally reflected light from water droplets directed towards their eyes.</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Requires interpreting the geometry of rainbow formation — observer position, Sun direction, and droplet reflection — and applying it to predict an observation change.</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The rainbow remains visible but its colour order reverses (red appears on the inside now) because the observer sees the droplets from the opposite side.</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The student incorrectly believes the observer position affects only colour order, not visibility, and ignores the directional requirement of internal reflection towards the observer.</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The rainbow shifts horizontally across the sky as the observer moves, maintaining the same appearance because water droplets are uniformly distributed.</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The student treats the rainbow as a fixed physical object in space rather than an optical effect dependent on the relative geometry of the observer, Sun, and droplets.</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The rainbow becomes brighter because the observer is now closer to the water droplets and more light reaches their eye directly.</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The student ignores the role of direction and internal reflection, confusing proximity with the geometric condition required for rainbow visibility.</w:t>
            </w:r>
          </w:p>
        </w:tc>
      </w:tr>
    </w:tbl>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80" w:line="276" w:lineRule="auto"/>
        <w:ind w:left="0" w:right="0" w:firstLine="0"/>
        <w:jc w:val="left"/>
        <w:rPr>
          <w:b w:val="1"/>
          <w:bCs w:val="1"/>
        </w:rPr>
      </w:pPr>
      <w:r w:rsidDel="00000000" w:rsidR="00000000" w:rsidRPr="00000000">
        <w:rPr>
          <w:b w:val="1"/>
          <w:bCs w:val="1"/>
          <w:rtl w:val="0"/>
        </w:rPr>
        <w:t xml:space="preserve">Decision — mark x in the box next to your choice:</w:t>
      </w:r>
    </w:p>
    <w:tbl>
      <w:tblPr>
        <w:tblStyle w:val="Table26"/>
        <w:tblW w:w="81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900"/>
        <w:gridCol w:w="1800"/>
        <w:gridCol w:w="900"/>
        <w:gridCol w:w="1800"/>
        <w:gridCol w:w="900"/>
        <w:tblGridChange w:id="0">
          <w:tblGrid>
            <w:gridCol w:w="1800"/>
            <w:gridCol w:w="900"/>
            <w:gridCol w:w="1800"/>
            <w:gridCol w:w="900"/>
            <w:gridCol w:w="1800"/>
            <w:gridCol w:w="9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Accepted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Modified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Rejected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x</w:t>
            </w:r>
          </w:p>
        </w:tc>
      </w:tr>
    </w:tbl>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Grammatical Error in stem. Correct answer too long as compared to options.</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2">
      <w:pPr>
        <w:pStyle w:val="Heading2"/>
        <w:rPr/>
      </w:pPr>
      <w:bookmarkStart w:colFirst="0" w:colLast="0" w:name="_s1m7emhrdm2h" w:id="6"/>
      <w:bookmarkEnd w:id="6"/>
      <w:r w:rsidDel="00000000" w:rsidR="00000000" w:rsidRPr="00000000">
        <w:rPr>
          <w:rtl w:val="0"/>
        </w:rPr>
        <w:t xml:space="preserve">Question ID: SCI-G10-20260809-F4AF8E</w:t>
      </w:r>
    </w:p>
    <w:tbl>
      <w:tblPr>
        <w:tblStyle w:val="Table27"/>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7.25"/>
        <w:gridCol w:w="2617.25"/>
        <w:gridCol w:w="2617.25"/>
        <w:gridCol w:w="2617.25"/>
        <w:tblGridChange w:id="0">
          <w:tblGrid>
            <w:gridCol w:w="2617.25"/>
            <w:gridCol w:w="2617.25"/>
            <w:gridCol w:w="2617.25"/>
            <w:gridCol w:w="2617.25"/>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Subject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Class</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DoK Level</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Marks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Science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w:t>
            </w:r>
          </w:p>
        </w:tc>
      </w:tr>
    </w:tbl>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28"/>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9"/>
        <w:tblGridChange w:id="0">
          <w:tblGrid>
            <w:gridCol w:w="10469"/>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Curricular Goal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C-2.4</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Competency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C-2.4 — Applies Ohm's law to everyday usage including short circuit and safety measures. C-5.1 — Analyses impact of science and technology on human life.</w:t>
            </w:r>
          </w:p>
        </w:tc>
      </w:tr>
    </w:tbl>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29"/>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During a fault in a household circuit, the resistance of a conducting path drops from 44 Ω to 0.1 Ω while the supply remains at 220 V. A student calculates the current before and after the fault and wants to determine whether a 5 A fuse would protect the circuit. </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Image Required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No</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Prompt</w:t>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Which of the following correctly analyses this situation?</w:t>
            </w:r>
          </w:p>
        </w:tc>
      </w:tr>
    </w:tbl>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30"/>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Correct Answer</w:t>
            </w:r>
          </w:p>
        </w:tc>
        <w:tc>
          <w:tcPr>
            <w:tcMar>
              <w:top w:w="100.0" w:type="dxa"/>
              <w:left w:w="100.0" w:type="dxa"/>
              <w:bottom w:w="100.0" w:type="dxa"/>
              <w:right w:w="100.0" w:type="dxa"/>
            </w:tcMar>
            <w:vAlign w:val="top"/>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The 5 A fuse would blow and protect the circuit as the current increases to 2200 A.</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Requires applying I = V/R for both fault conditions (220/44 = 5 A; 220/0.1 = 2200 A), identifying the dramatic increase in short-circuit current, and interpreting fuse protection — multi-step real-world safety analysis.</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1</w:t>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The 5 A fuse would not blow because fuses only respond to voltage changes</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The student correctly computes pre-fault current but makes an arithmetic error (220/0.1 = 2200, not 220) and fundamentally misunderstands fuse operation — fuses respond to excess current, not voltage changes.</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2</w:t>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The 5 A fuse would not be needed</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The student swaps V and R in Ohm's law — computing I = R instead of I = V/R — producing nonsensical values, and reverses the fault direction (current should increase, not decrease in a short circuit).</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3</w:t>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The 5 A fuse would not blow because the current did not reach 220 A</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The student correctly computes pre-fault current but makes a division error for the fault condition (computing 220/10 = 22 instead of 220/0.1 = 2200), and sets an incorrect threshold for fuse operation.</w:t>
            </w:r>
          </w:p>
        </w:tc>
      </w:tr>
    </w:tbl>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80" w:line="276" w:lineRule="auto"/>
        <w:ind w:left="0" w:right="0" w:firstLine="0"/>
        <w:jc w:val="left"/>
        <w:rPr>
          <w:b w:val="1"/>
          <w:bCs w:val="1"/>
        </w:rPr>
      </w:pPr>
      <w:r w:rsidDel="00000000" w:rsidR="00000000" w:rsidRPr="00000000">
        <w:rPr>
          <w:b w:val="1"/>
          <w:bCs w:val="1"/>
          <w:rtl w:val="0"/>
        </w:rPr>
        <w:t xml:space="preserve">Decision — mark x in the box next to your choice:</w:t>
      </w:r>
    </w:p>
    <w:tbl>
      <w:tblPr>
        <w:tblStyle w:val="Table31"/>
        <w:tblW w:w="81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900"/>
        <w:gridCol w:w="1800"/>
        <w:gridCol w:w="900"/>
        <w:gridCol w:w="1800"/>
        <w:gridCol w:w="900"/>
        <w:tblGridChange w:id="0">
          <w:tblGrid>
            <w:gridCol w:w="1800"/>
            <w:gridCol w:w="900"/>
            <w:gridCol w:w="1800"/>
            <w:gridCol w:w="900"/>
            <w:gridCol w:w="1800"/>
            <w:gridCol w:w="9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Accepted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Modified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Rejected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x</w:t>
            </w:r>
          </w:p>
        </w:tc>
      </w:tr>
    </w:tbl>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3 is wrong. If should be 22A and not 220A</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3">
      <w:pPr>
        <w:pStyle w:val="Heading2"/>
        <w:rPr/>
      </w:pPr>
      <w:bookmarkStart w:colFirst="0" w:colLast="0" w:name="_z7nwtl1l6sae" w:id="7"/>
      <w:bookmarkEnd w:id="7"/>
      <w:r w:rsidDel="00000000" w:rsidR="00000000" w:rsidRPr="00000000">
        <w:rPr>
          <w:rtl w:val="0"/>
        </w:rPr>
        <w:t xml:space="preserve">Question ID: SCI-G10-20260809-87F7A3</w:t>
      </w:r>
    </w:p>
    <w:tbl>
      <w:tblPr>
        <w:tblStyle w:val="Table32"/>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7.25"/>
        <w:gridCol w:w="2617.25"/>
        <w:gridCol w:w="2617.25"/>
        <w:gridCol w:w="2617.25"/>
        <w:tblGridChange w:id="0">
          <w:tblGrid>
            <w:gridCol w:w="2617.25"/>
            <w:gridCol w:w="2617.25"/>
            <w:gridCol w:w="2617.25"/>
            <w:gridCol w:w="2617.25"/>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Subject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Class</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DoK Level</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Marks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Science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w:t>
            </w:r>
          </w:p>
        </w:tc>
      </w:tr>
    </w:tbl>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33"/>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9"/>
        <w:tblGridChange w:id="0">
          <w:tblGrid>
            <w:gridCol w:w="10469"/>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Curricular Goal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C-2.1</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Competency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C-2.1: Applies Newton's laws — Force on current-carrying conductor, Fleming's Left-Hand Rule</w:t>
            </w:r>
          </w:p>
        </w:tc>
      </w:tr>
    </w:tbl>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34"/>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A horizontal copper rod carries current from east to west. A magnetic field is directed vertically downward.</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Image Required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No</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Prompt</w:t>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What is the direction of the force on the rod?</w:t>
            </w:r>
          </w:p>
        </w:tc>
      </w:tr>
    </w:tbl>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35"/>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Correct Answer</w:t>
            </w:r>
          </w:p>
        </w:tc>
        <w:tc>
          <w:tcPr>
            <w:tcMar>
              <w:top w:w="100.0" w:type="dxa"/>
              <w:left w:w="100.0" w:type="dxa"/>
              <w:bottom w:w="100.0" w:type="dxa"/>
              <w:right w:w="100.0" w:type="dxa"/>
            </w:tcMar>
            <w:vAlign w:val="top"/>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Towards the south</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 Marks — Requires correctly applying Fleming's Left-Hand Rule with all three spatial directions (current east-to-west, field downward, force perpendicular to both), demanding spatial reasoning and correct finger orientation.</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1</w:t>
            </w:r>
          </w:p>
        </w:tc>
        <w:tc>
          <w:tcPr>
            <w:shd w:fill="auto" w:val="clear"/>
            <w:tcMar>
              <w:top w:w="100.0" w:type="dxa"/>
              <w:left w:w="100.0" w:type="dxa"/>
              <w:bottom w:w="100.0" w:type="dxa"/>
              <w:right w:w="100.0" w:type="dxa"/>
            </w:tcMar>
            <w:vAlign w:val="top"/>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Towards the north</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Student applies the rule but makes a directional error — likely reversing the middle finger (current) direction or misidentifying east-to-west as west-to-east, arriving at the opposite in-plane direction.</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2</w:t>
            </w:r>
          </w:p>
        </w:tc>
        <w:tc>
          <w:tcPr>
            <w:shd w:fill="auto" w:val="clear"/>
            <w:tcMar>
              <w:top w:w="100.0" w:type="dxa"/>
              <w:left w:w="100.0" w:type="dxa"/>
              <w:bottom w:w="100.0" w:type="dxa"/>
              <w:right w:w="100.0" w:type="dxa"/>
            </w:tcMar>
            <w:vAlign w:val="top"/>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Vertically upward</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Student confuses the direction of the magnetic field with the direction of force, or applies the right-hand rule (used for magnetic field direction of a wire) instead of the left-hand rule.</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3</w:t>
            </w:r>
          </w:p>
        </w:tc>
        <w:tc>
          <w:tcPr>
            <w:shd w:fill="auto" w:val="clear"/>
            <w:tcMar>
              <w:top w:w="100.0" w:type="dxa"/>
              <w:left w:w="100.0" w:type="dxa"/>
              <w:bottom w:w="100.0" w:type="dxa"/>
              <w:right w:w="100.0" w:type="dxa"/>
            </w:tcMar>
            <w:vAlign w:val="top"/>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Towards the east</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Student incorrectly aligns one of the fingers parallel to an existing direction (current or field) rather than finding the mutually perpendicular resultant, producing a direction already occupied by another vector.</w:t>
            </w:r>
          </w:p>
        </w:tc>
      </w:tr>
    </w:tbl>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80" w:line="276" w:lineRule="auto"/>
        <w:ind w:left="0" w:right="0" w:firstLine="0"/>
        <w:jc w:val="left"/>
        <w:rPr>
          <w:b w:val="1"/>
          <w:bCs w:val="1"/>
        </w:rPr>
      </w:pPr>
      <w:r w:rsidDel="00000000" w:rsidR="00000000" w:rsidRPr="00000000">
        <w:rPr>
          <w:b w:val="1"/>
          <w:bCs w:val="1"/>
          <w:rtl w:val="0"/>
        </w:rPr>
        <w:t xml:space="preserve">Decision — mark x in the box next to your choice:</w:t>
      </w:r>
    </w:p>
    <w:tbl>
      <w:tblPr>
        <w:tblStyle w:val="Table36"/>
        <w:tblW w:w="81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900"/>
        <w:gridCol w:w="1800"/>
        <w:gridCol w:w="900"/>
        <w:gridCol w:w="1800"/>
        <w:gridCol w:w="900"/>
        <w:tblGridChange w:id="0">
          <w:tblGrid>
            <w:gridCol w:w="1800"/>
            <w:gridCol w:w="900"/>
            <w:gridCol w:w="1800"/>
            <w:gridCol w:w="900"/>
            <w:gridCol w:w="1800"/>
            <w:gridCol w:w="9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Accepted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Modified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Rejected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r>
    </w:tbl>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4">
      <w:pPr>
        <w:pStyle w:val="Heading2"/>
        <w:rPr/>
      </w:pPr>
      <w:bookmarkStart w:colFirst="0" w:colLast="0" w:name="_cialnspc9uqf" w:id="8"/>
      <w:bookmarkEnd w:id="8"/>
      <w:r w:rsidDel="00000000" w:rsidR="00000000" w:rsidRPr="00000000">
        <w:rPr>
          <w:rtl w:val="0"/>
        </w:rPr>
        <w:t xml:space="preserve">Question ID: SCI-G10-20260809-83C532</w:t>
      </w:r>
    </w:p>
    <w:tbl>
      <w:tblPr>
        <w:tblStyle w:val="Table37"/>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7.25"/>
        <w:gridCol w:w="2617.25"/>
        <w:gridCol w:w="2617.25"/>
        <w:gridCol w:w="2617.25"/>
        <w:tblGridChange w:id="0">
          <w:tblGrid>
            <w:gridCol w:w="2617.25"/>
            <w:gridCol w:w="2617.25"/>
            <w:gridCol w:w="2617.25"/>
            <w:gridCol w:w="2617.25"/>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Subject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Class</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DoK Level</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Marks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Science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w:t>
            </w:r>
          </w:p>
        </w:tc>
      </w:tr>
    </w:tbl>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38"/>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9"/>
        <w:tblGridChange w:id="0">
          <w:tblGrid>
            <w:gridCol w:w="10469"/>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Curricular Goal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C-2.4 </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Competency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Manipulates and analyses circuit characteristics — Short circuit, overloading, fuse</w:t>
            </w:r>
          </w:p>
        </w:tc>
      </w:tr>
    </w:tbl>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39"/>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In a domestic circuit rated at 5 A, an electric iron (1000 W) and a water heater (2000 W) are connected to a 220 V supply.</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Image Required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No</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Prompt</w:t>
            </w:r>
          </w:p>
        </w:tc>
        <w:tc>
          <w:tcPr>
            <w:shd w:fill="auto" w:val="clear"/>
            <w:tcMar>
              <w:top w:w="100.0" w:type="dxa"/>
              <w:left w:w="100.0" w:type="dxa"/>
              <w:bottom w:w="100.0" w:type="dxa"/>
              <w:right w:w="100.0" w:type="dxa"/>
            </w:tcMar>
            <w:vAlign w:val="top"/>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Which of the following correctly explains what will happen?</w:t>
            </w:r>
          </w:p>
        </w:tc>
      </w:tr>
    </w:tbl>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40"/>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Correct Answer</w:t>
            </w:r>
          </w:p>
        </w:tc>
        <w:tc>
          <w:tcPr>
            <w:tcMar>
              <w:top w:w="100.0" w:type="dxa"/>
              <w:left w:w="100.0" w:type="dxa"/>
              <w:bottom w:w="100.0" w:type="dxa"/>
              <w:right w:w="100.0" w:type="dxa"/>
            </w:tcMar>
            <w:vAlign w:val="top"/>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The fuse will blow.</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 Marks — Requires calculating currents using P = VI, adding them, comparing with the fuse rating, and connecting the conclusion to the safety mechanism of the fuse.</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1</w:t>
            </w:r>
          </w:p>
        </w:tc>
        <w:tc>
          <w:tcPr>
            <w:shd w:fill="auto" w:val="clear"/>
            <w:tcMar>
              <w:top w:w="100.0" w:type="dxa"/>
              <w:left w:w="100.0" w:type="dxa"/>
              <w:bottom w:w="100.0" w:type="dxa"/>
              <w:right w:w="100.0" w:type="dxa"/>
            </w:tcMar>
            <w:vAlign w:val="top"/>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Both appliances work normally.</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Student calculates current correctly but does not connect this to the consequences of exceeding the fuse rating — a conceptual gap between calculation and safety application.</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2</w:t>
            </w:r>
          </w:p>
        </w:tc>
        <w:tc>
          <w:tcPr>
            <w:shd w:fill="auto" w:val="clear"/>
            <w:tcMar>
              <w:top w:w="100.0" w:type="dxa"/>
              <w:left w:w="100.0" w:type="dxa"/>
              <w:bottom w:w="100.0" w:type="dxa"/>
              <w:right w:w="100.0" w:type="dxa"/>
            </w:tcMar>
            <w:vAlign w:val="top"/>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Only the water heater will trip.</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Misconception that individual appliances have independent fuses in a single circuit, or that only the highest-power appliance is responsible for overloading.</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3</w:t>
            </w:r>
          </w:p>
        </w:tc>
        <w:tc>
          <w:tcPr>
            <w:shd w:fill="auto" w:val="clear"/>
            <w:tcMar>
              <w:top w:w="100.0" w:type="dxa"/>
              <w:left w:w="100.0" w:type="dxa"/>
              <w:bottom w:w="100.0" w:type="dxa"/>
              <w:right w:w="100.0" w:type="dxa"/>
            </w:tcMar>
            <w:vAlign w:val="top"/>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The voltage will drop to 110 V.</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Students who recall that 'overloading causes a voltage drop' from everyday experience (lights dimming) may incorrectly predict a halved voltage rather than a blown fuse.</w:t>
            </w:r>
          </w:p>
        </w:tc>
      </w:tr>
    </w:tbl>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80" w:line="276" w:lineRule="auto"/>
        <w:ind w:left="0" w:right="0" w:firstLine="0"/>
        <w:jc w:val="left"/>
        <w:rPr>
          <w:b w:val="1"/>
          <w:bCs w:val="1"/>
        </w:rPr>
      </w:pPr>
      <w:r w:rsidDel="00000000" w:rsidR="00000000" w:rsidRPr="00000000">
        <w:rPr>
          <w:b w:val="1"/>
          <w:bCs w:val="1"/>
          <w:rtl w:val="0"/>
        </w:rPr>
        <w:t xml:space="preserve">Decision — mark x in the box next to your choice:</w:t>
      </w:r>
    </w:p>
    <w:tbl>
      <w:tblPr>
        <w:tblStyle w:val="Table41"/>
        <w:tblW w:w="81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900"/>
        <w:gridCol w:w="1800"/>
        <w:gridCol w:w="900"/>
        <w:gridCol w:w="1800"/>
        <w:gridCol w:w="900"/>
        <w:tblGridChange w:id="0">
          <w:tblGrid>
            <w:gridCol w:w="1800"/>
            <w:gridCol w:w="900"/>
            <w:gridCol w:w="1800"/>
            <w:gridCol w:w="900"/>
            <w:gridCol w:w="1800"/>
            <w:gridCol w:w="9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Accepted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Modified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Rejected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r>
    </w:tbl>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5">
      <w:pPr>
        <w:pStyle w:val="Heading2"/>
        <w:rPr/>
      </w:pPr>
      <w:bookmarkStart w:colFirst="0" w:colLast="0" w:name="_k52pf62er3c1" w:id="9"/>
      <w:bookmarkEnd w:id="9"/>
      <w:r w:rsidDel="00000000" w:rsidR="00000000" w:rsidRPr="00000000">
        <w:rPr>
          <w:rtl w:val="0"/>
        </w:rPr>
        <w:t xml:space="preserve">Question ID: SCI-G10-20260809-5B4D7A</w:t>
      </w:r>
    </w:p>
    <w:tbl>
      <w:tblPr>
        <w:tblStyle w:val="Table42"/>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7.25"/>
        <w:gridCol w:w="2617.25"/>
        <w:gridCol w:w="2617.25"/>
        <w:gridCol w:w="2617.25"/>
        <w:tblGridChange w:id="0">
          <w:tblGrid>
            <w:gridCol w:w="2617.25"/>
            <w:gridCol w:w="2617.25"/>
            <w:gridCol w:w="2617.25"/>
            <w:gridCol w:w="2617.25"/>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Subject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Class</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DoK Level</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Marks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Science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3</w:t>
            </w:r>
          </w:p>
        </w:tc>
      </w:tr>
    </w:tbl>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43"/>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9"/>
        <w:tblGridChange w:id="0">
          <w:tblGrid>
            <w:gridCol w:w="10469"/>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Curricular Goal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C-2.7</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Competency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C-2.7 — Covers dispersion, scattering, rainbow formation, atmospheric refraction, blue colour of sky, twinkling of stars, spectrum and wavelength-based phenomena.</w:t>
            </w:r>
          </w:p>
        </w:tc>
      </w:tr>
    </w:tbl>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44"/>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An atmosphere contains a high concentration of suspended dust and moisture particles whose structural diameters are significantly larger than the wavelengths of visible light.</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Image Required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No</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Prompt</w:t>
            </w:r>
          </w:p>
        </w:tc>
        <w:tc>
          <w:tcPr>
            <w:shd w:fill="auto" w:val="clear"/>
            <w:tcMar>
              <w:top w:w="100.0" w:type="dxa"/>
              <w:left w:w="100.0" w:type="dxa"/>
              <w:bottom w:w="100.0" w:type="dxa"/>
              <w:right w:w="100.0" w:type="dxa"/>
            </w:tcMar>
            <w:vAlign w:val="top"/>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Analyze how this environmental condition alters the wavelength-dependent properties of light scattering compared to a clean atmosphere, and predict the resulting color appearance of the sky.</w:t>
            </w:r>
          </w:p>
        </w:tc>
      </w:tr>
    </w:tbl>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45"/>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Correct Answer</w:t>
            </w:r>
          </w:p>
        </w:tc>
        <w:tc>
          <w:tcPr>
            <w:tcMar>
              <w:top w:w="100.0" w:type="dxa"/>
              <w:left w:w="100.0" w:type="dxa"/>
              <w:bottom w:w="100.0" w:type="dxa"/>
              <w:right w:w="100.0" w:type="dxa"/>
            </w:tcMar>
            <w:vAlign w:val="top"/>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The large particles scatter all wavelengths of visible light nearly equally; therefore, the scattered light appears white or gray, and the sky loses its blue color.</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Requires critical analysis of specific environmental boundary conditions that challenge standard assumptions, and deriving a valid physical prediction.</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1</w:t>
            </w:r>
          </w:p>
        </w:tc>
        <w:tc>
          <w:tcPr>
            <w:shd w:fill="auto" w:val="clear"/>
            <w:tcMar>
              <w:top w:w="100.0" w:type="dxa"/>
              <w:left w:w="100.0" w:type="dxa"/>
              <w:bottom w:w="100.0" w:type="dxa"/>
              <w:right w:w="100.0" w:type="dxa"/>
            </w:tcMar>
            <w:vAlign w:val="top"/>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The short blue wavelengths are scattered with vastly increased intensity relative to the fourth power rule, making the sky turn deep violet.</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The student ignores the stated particle size constraint and applies the Rayleigh scattering law ($1/\lambda^4$) where it is no longer physically valid.</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2</w:t>
            </w:r>
          </w:p>
        </w:tc>
        <w:tc>
          <w:tcPr>
            <w:shd w:fill="auto" w:val="clear"/>
            <w:tcMar>
              <w:top w:w="100.0" w:type="dxa"/>
              <w:left w:w="100.0" w:type="dxa"/>
              <w:bottom w:w="100.0" w:type="dxa"/>
              <w:right w:w="100.0" w:type="dxa"/>
            </w:tcMar>
            <w:vAlign w:val="top"/>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The long red wavelengths undergo total destructive interference, causing the sky to appear pitch black even during peak daylight hours.</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The student invents a false wave cancellation mechanism, confusing particulate macroscopic scattering with thin-film phase interference.</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3</w:t>
            </w:r>
          </w:p>
        </w:tc>
        <w:tc>
          <w:tcPr>
            <w:shd w:fill="auto" w:val="clear"/>
            <w:tcMar>
              <w:top w:w="100.0" w:type="dxa"/>
              <w:left w:w="100.0" w:type="dxa"/>
              <w:bottom w:w="100.0" w:type="dxa"/>
              <w:right w:w="100.0" w:type="dxa"/>
            </w:tcMar>
            <w:vAlign w:val="top"/>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The large particles act as perfect micro-prisms, generating millions of independent spectra that fill the sky with a brilliant, continuous rainbow pattern.</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The student relies on a naive, overly literal interpretation of water/dust geometries, confusing unstructured scattering with organized prism refraction.</w:t>
            </w:r>
          </w:p>
        </w:tc>
      </w:tr>
    </w:tbl>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80" w:line="276" w:lineRule="auto"/>
        <w:ind w:left="0" w:right="0" w:firstLine="0"/>
        <w:jc w:val="left"/>
        <w:rPr>
          <w:b w:val="1"/>
          <w:bCs w:val="1"/>
        </w:rPr>
      </w:pPr>
      <w:r w:rsidDel="00000000" w:rsidR="00000000" w:rsidRPr="00000000">
        <w:rPr>
          <w:b w:val="1"/>
          <w:bCs w:val="1"/>
          <w:rtl w:val="0"/>
        </w:rPr>
        <w:t xml:space="preserve">Decision — mark x in the box next to your choice:</w:t>
      </w:r>
    </w:p>
    <w:tbl>
      <w:tblPr>
        <w:tblStyle w:val="Table46"/>
        <w:tblW w:w="81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900"/>
        <w:gridCol w:w="1800"/>
        <w:gridCol w:w="900"/>
        <w:gridCol w:w="1800"/>
        <w:gridCol w:w="900"/>
        <w:tblGridChange w:id="0">
          <w:tblGrid>
            <w:gridCol w:w="1800"/>
            <w:gridCol w:w="900"/>
            <w:gridCol w:w="1800"/>
            <w:gridCol w:w="900"/>
            <w:gridCol w:w="1800"/>
            <w:gridCol w:w="9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Accepted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Modified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Rejected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x</w:t>
            </w:r>
          </w:p>
        </w:tc>
      </w:tr>
    </w:tbl>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C6">
      <w:pPr>
        <w:pStyle w:val="Heading2"/>
        <w:rPr/>
      </w:pPr>
      <w:bookmarkStart w:colFirst="0" w:colLast="0" w:name="_m4v1t8rqfvf2" w:id="10"/>
      <w:bookmarkEnd w:id="10"/>
      <w:r w:rsidDel="00000000" w:rsidR="00000000" w:rsidRPr="00000000">
        <w:rPr>
          <w:rtl w:val="0"/>
        </w:rPr>
        <w:t xml:space="preserve">Question ID: SCI-G10-20260809-BDA3CB</w:t>
      </w:r>
    </w:p>
    <w:tbl>
      <w:tblPr>
        <w:tblStyle w:val="Table47"/>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7.25"/>
        <w:gridCol w:w="2617.25"/>
        <w:gridCol w:w="2617.25"/>
        <w:gridCol w:w="2617.25"/>
        <w:tblGridChange w:id="0">
          <w:tblGrid>
            <w:gridCol w:w="2617.25"/>
            <w:gridCol w:w="2617.25"/>
            <w:gridCol w:w="2617.25"/>
            <w:gridCol w:w="2617.25"/>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Subject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Class</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DoK Level</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Marks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Science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w:t>
            </w:r>
          </w:p>
        </w:tc>
      </w:tr>
    </w:tbl>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48"/>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9"/>
        <w:tblGridChange w:id="0">
          <w:tblGrid>
            <w:gridCol w:w="10469"/>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Curricular Goal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C-3.1</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Competency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C-3.1 &amp; C-3.2: Applies the concept of hormonal feedback mechanisms to explain how hormone secretion is regulated in animals; connects this to the integration of body systems. (Hormonal control and endocrine glands; coordination as a vital life process; integration of body systems)</w:t>
            </w:r>
          </w:p>
        </w:tc>
      </w:tr>
    </w:tbl>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49"/>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Ritu eats a meal rich in carbohydrates. Her blood sugar rises sharply. Shortly after, insulin is secreted from the pancreas, and the blood sugar returns to a normal level. As the blood sugar normalises, insulin secretion decreases.</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Image Required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No</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Prompt</w:t>
            </w:r>
          </w:p>
        </w:tc>
        <w:tc>
          <w:tcPr>
            <w:shd w:fill="auto" w:val="clear"/>
            <w:tcMar>
              <w:top w:w="100.0" w:type="dxa"/>
              <w:left w:w="100.0" w:type="dxa"/>
              <w:bottom w:w="100.0" w:type="dxa"/>
              <w:right w:w="100.0" w:type="dxa"/>
            </w:tcMar>
            <w:vAlign w:val="top"/>
          </w:tcPr>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Which phenomenon is illustrated in this scenario?</w:t>
            </w:r>
          </w:p>
        </w:tc>
      </w:tr>
    </w:tbl>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50"/>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Correct Answer</w:t>
            </w:r>
          </w:p>
        </w:tc>
        <w:tc>
          <w:tcPr>
            <w:tcMar>
              <w:top w:w="100.0" w:type="dxa"/>
              <w:left w:w="100.0" w:type="dxa"/>
              <w:bottom w:w="100.0" w:type="dxa"/>
              <w:right w:w="100.0" w:type="dxa"/>
            </w:tcMar>
            <w:vAlign w:val="top"/>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Feedback mechanism</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Requires interpreting a biological scenario and correctly identifying it as a feedback mechanism — connecting the concept of self-regulation to a hormonal example. Tests conceptual interpretation and multi-step reasoning about system regulation.</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1</w:t>
            </w:r>
          </w:p>
        </w:tc>
        <w:tc>
          <w:tcPr>
            <w:shd w:fill="auto" w:val="clear"/>
            <w:tcMar>
              <w:top w:w="100.0" w:type="dxa"/>
              <w:left w:w="100.0" w:type="dxa"/>
              <w:bottom w:w="100.0" w:type="dxa"/>
              <w:right w:w="100.0" w:type="dxa"/>
            </w:tcMar>
            <w:vAlign w:val="top"/>
          </w:tcPr>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Reflex action.</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Automatic response confusion: Students who associate 'automatic' biological responses with reflex actions may choose this, not realising that reflex arcs involve the nervous system and spinal cord, not endocrine secretion loops. Tests distinction between nervous reflex and hormonal feedback.</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2</w:t>
            </w:r>
          </w:p>
        </w:tc>
        <w:tc>
          <w:tcPr>
            <w:shd w:fill="auto" w:val="clear"/>
            <w:tcMar>
              <w:top w:w="100.0" w:type="dxa"/>
              <w:left w:w="100.0" w:type="dxa"/>
              <w:bottom w:w="100.0" w:type="dxa"/>
              <w:right w:w="100.0" w:type="dxa"/>
            </w:tcMar>
            <w:vAlign w:val="top"/>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Phototropism</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Stimulus-response confusion: Students may over-apply the 'stimulus-response' framework learned in plant movements to hormonal regulation. Tests whether students correctly identify the self-regulatory nature of feedback (internal signal) vs. tropism (external directional stimulus).</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3</w:t>
            </w:r>
          </w:p>
        </w:tc>
        <w:tc>
          <w:tcPr>
            <w:shd w:fill="auto" w:val="clear"/>
            <w:tcMar>
              <w:top w:w="100.0" w:type="dxa"/>
              <w:left w:w="100.0" w:type="dxa"/>
              <w:bottom w:w="100.0" w:type="dxa"/>
              <w:right w:w="100.0" w:type="dxa"/>
            </w:tcMar>
            <w:vAlign w:val="top"/>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Nervous coordination</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System confusion: Students may not distinguish between hormonal and nervous regulation, assuming the brain controls insulin secretion via nerve impulses. Tests whether students understand that insulin regulation is a chemical (endocrine) feedback loop, not primarily a nervous system process.</w:t>
            </w:r>
          </w:p>
        </w:tc>
      </w:tr>
    </w:tbl>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80" w:line="276" w:lineRule="auto"/>
        <w:ind w:left="0" w:right="0" w:firstLine="0"/>
        <w:jc w:val="left"/>
        <w:rPr>
          <w:b w:val="1"/>
          <w:bCs w:val="1"/>
        </w:rPr>
      </w:pPr>
      <w:r w:rsidDel="00000000" w:rsidR="00000000" w:rsidRPr="00000000">
        <w:rPr>
          <w:b w:val="1"/>
          <w:bCs w:val="1"/>
          <w:rtl w:val="0"/>
        </w:rPr>
        <w:t xml:space="preserve">Decision — mark x in the box next to your choice:</w:t>
      </w:r>
    </w:p>
    <w:tbl>
      <w:tblPr>
        <w:tblStyle w:val="Table51"/>
        <w:tblW w:w="81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900"/>
        <w:gridCol w:w="1800"/>
        <w:gridCol w:w="900"/>
        <w:gridCol w:w="1800"/>
        <w:gridCol w:w="900"/>
        <w:tblGridChange w:id="0">
          <w:tblGrid>
            <w:gridCol w:w="1800"/>
            <w:gridCol w:w="900"/>
            <w:gridCol w:w="1800"/>
            <w:gridCol w:w="900"/>
            <w:gridCol w:w="1800"/>
            <w:gridCol w:w="9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Accepted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Modified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Rejected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r>
    </w:tbl>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Grammatical error in stem. Prompt not a question.</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F7">
      <w:pPr>
        <w:pStyle w:val="Heading2"/>
        <w:rPr/>
      </w:pPr>
      <w:bookmarkStart w:colFirst="0" w:colLast="0" w:name="_de3li8rn7cnr" w:id="11"/>
      <w:bookmarkEnd w:id="11"/>
      <w:r w:rsidDel="00000000" w:rsidR="00000000" w:rsidRPr="00000000">
        <w:rPr>
          <w:rtl w:val="0"/>
        </w:rPr>
        <w:t xml:space="preserve">Question ID: SCI-G10-20260809-E6BC12</w:t>
      </w:r>
    </w:p>
    <w:tbl>
      <w:tblPr>
        <w:tblStyle w:val="Table52"/>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7.25"/>
        <w:gridCol w:w="2617.25"/>
        <w:gridCol w:w="2617.25"/>
        <w:gridCol w:w="2617.25"/>
        <w:tblGridChange w:id="0">
          <w:tblGrid>
            <w:gridCol w:w="2617.25"/>
            <w:gridCol w:w="2617.25"/>
            <w:gridCol w:w="2617.25"/>
            <w:gridCol w:w="2617.25"/>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Subject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Class</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DoK Level</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Marks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Science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w:t>
            </w:r>
          </w:p>
        </w:tc>
      </w:tr>
    </w:tbl>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53"/>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9"/>
        <w:tblGridChange w:id="0">
          <w:tblGrid>
            <w:gridCol w:w="10469"/>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Curricular Goal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C-3.2</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Competency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Analyses similarities and differences in the life processes associated with reproduction — human reproductive system.</w:t>
            </w:r>
          </w:p>
        </w:tc>
      </w:tr>
    </w:tbl>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54"/>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Image Required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No</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Prompt</w:t>
            </w:r>
          </w:p>
        </w:tc>
        <w:tc>
          <w:tcPr>
            <w:shd w:fill="auto" w:val="clear"/>
            <w:tcMar>
              <w:top w:w="100.0" w:type="dxa"/>
              <w:left w:w="100.0" w:type="dxa"/>
              <w:bottom w:w="100.0" w:type="dxa"/>
              <w:right w:w="100.0" w:type="dxa"/>
            </w:tcMar>
            <w:vAlign w:val="top"/>
          </w:tcPr>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In which part of the human male reproductive system are sperms formed?</w:t>
            </w:r>
          </w:p>
        </w:tc>
      </w:tr>
    </w:tbl>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55"/>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Correct Answer</w:t>
            </w:r>
          </w:p>
        </w:tc>
        <w:tc>
          <w:tcPr>
            <w:tcMar>
              <w:top w:w="100.0" w:type="dxa"/>
              <w:left w:w="100.0" w:type="dxa"/>
              <w:bottom w:w="100.0" w:type="dxa"/>
              <w:right w:w="100.0" w:type="dxa"/>
            </w:tcMar>
            <w:vAlign w:val="top"/>
          </w:tcPr>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Testes</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 mark: Direct recall of a basic anatomical fact (site of sperm formation) taught explicitly in the chapter.</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1</w:t>
            </w:r>
          </w:p>
        </w:tc>
        <w:tc>
          <w:tcPr>
            <w:shd w:fill="auto" w:val="clear"/>
            <w:tcMar>
              <w:top w:w="100.0" w:type="dxa"/>
              <w:left w:w="100.0" w:type="dxa"/>
              <w:bottom w:w="100.0" w:type="dxa"/>
              <w:right w:w="100.0" w:type="dxa"/>
            </w:tcMar>
            <w:vAlign w:val="top"/>
          </w:tcPr>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Scrotum</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Misconception: students often confuse the scrotum (the pouch that houses the testes and helps regulate their temperature) with the testes themselves, which are the actual site of sperm production.</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2</w:t>
            </w:r>
          </w:p>
        </w:tc>
        <w:tc>
          <w:tcPr>
            <w:shd w:fill="auto" w:val="clear"/>
            <w:tcMar>
              <w:top w:w="100.0" w:type="dxa"/>
              <w:left w:w="100.0" w:type="dxa"/>
              <w:bottom w:w="100.0" w:type="dxa"/>
              <w:right w:w="100.0" w:type="dxa"/>
            </w:tcMar>
            <w:vAlign w:val="top"/>
          </w:tcPr>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Vas deferens</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Misconception: students may confuse the vas deferens (the duct that transports sperm) with the organ where sperm are actually formed.</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3</w:t>
            </w:r>
          </w:p>
        </w:tc>
        <w:tc>
          <w:tcPr>
            <w:shd w:fill="auto" w:val="clear"/>
            <w:tcMar>
              <w:top w:w="100.0" w:type="dxa"/>
              <w:left w:w="100.0" w:type="dxa"/>
              <w:bottom w:w="100.0" w:type="dxa"/>
              <w:right w:w="100.0" w:type="dxa"/>
            </w:tcMar>
            <w:vAlign w:val="top"/>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Prostate gland</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Misconception: students may confuse the prostate gland (which adds secretions to the sperm-containing fluid) with the organ responsible for producing the sperm itself.</w:t>
            </w:r>
          </w:p>
        </w:tc>
      </w:tr>
    </w:tbl>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80" w:line="276" w:lineRule="auto"/>
        <w:ind w:left="0" w:right="0" w:firstLine="0"/>
        <w:jc w:val="left"/>
        <w:rPr>
          <w:b w:val="1"/>
          <w:bCs w:val="1"/>
        </w:rPr>
      </w:pPr>
      <w:r w:rsidDel="00000000" w:rsidR="00000000" w:rsidRPr="00000000">
        <w:rPr>
          <w:b w:val="1"/>
          <w:bCs w:val="1"/>
          <w:rtl w:val="0"/>
        </w:rPr>
        <w:t xml:space="preserve">Decision — mark x in the box next to your choice:</w:t>
      </w:r>
    </w:p>
    <w:tbl>
      <w:tblPr>
        <w:tblStyle w:val="Table56"/>
        <w:tblW w:w="81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900"/>
        <w:gridCol w:w="1800"/>
        <w:gridCol w:w="900"/>
        <w:gridCol w:w="1800"/>
        <w:gridCol w:w="900"/>
        <w:tblGridChange w:id="0">
          <w:tblGrid>
            <w:gridCol w:w="1800"/>
            <w:gridCol w:w="900"/>
            <w:gridCol w:w="1800"/>
            <w:gridCol w:w="900"/>
            <w:gridCol w:w="1800"/>
            <w:gridCol w:w="9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Accepted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Modified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Rejected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r>
    </w:tbl>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Prompt was not a question.</w:t>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28">
      <w:pPr>
        <w:pStyle w:val="Heading2"/>
        <w:rPr/>
      </w:pPr>
      <w:bookmarkStart w:colFirst="0" w:colLast="0" w:name="_qyqqlkf57v6z" w:id="12"/>
      <w:bookmarkEnd w:id="12"/>
      <w:r w:rsidDel="00000000" w:rsidR="00000000" w:rsidRPr="00000000">
        <w:rPr>
          <w:rtl w:val="0"/>
        </w:rPr>
        <w:t xml:space="preserve">Question ID: SCI-G10-20260809-3420ED</w:t>
      </w:r>
    </w:p>
    <w:tbl>
      <w:tblPr>
        <w:tblStyle w:val="Table57"/>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7.25"/>
        <w:gridCol w:w="2617.25"/>
        <w:gridCol w:w="2617.25"/>
        <w:gridCol w:w="2617.25"/>
        <w:tblGridChange w:id="0">
          <w:tblGrid>
            <w:gridCol w:w="2617.25"/>
            <w:gridCol w:w="2617.25"/>
            <w:gridCol w:w="2617.25"/>
            <w:gridCol w:w="2617.25"/>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Subject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Class</w:t>
            </w:r>
          </w:p>
        </w:tc>
        <w:tc>
          <w:tcPr>
            <w:shd w:fill="d9d9d9" w:val="clear"/>
            <w:tcMar>
              <w:top w:w="100.0" w:type="dxa"/>
              <w:left w:w="100.0" w:type="dxa"/>
              <w:bottom w:w="100.0" w:type="dxa"/>
              <w:right w:w="100.0" w:type="dxa"/>
            </w:tcMar>
            <w:vAlign w:val="top"/>
          </w:tcPr>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DoK Level</w:t>
            </w:r>
          </w:p>
        </w:tc>
        <w:tc>
          <w:tcPr>
            <w:shd w:fill="d9d9d9" w:val="clear"/>
            <w:tcMar>
              <w:top w:w="100.0" w:type="dxa"/>
              <w:left w:w="100.0" w:type="dxa"/>
              <w:bottom w:w="100.0" w:type="dxa"/>
              <w:right w:w="100.0" w:type="dxa"/>
            </w:tcMar>
            <w:vAlign w:val="top"/>
          </w:tcPr>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Marks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Science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w:t>
            </w:r>
          </w:p>
        </w:tc>
      </w:tr>
    </w:tbl>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58"/>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9"/>
        <w:tblGridChange w:id="0">
          <w:tblGrid>
            <w:gridCol w:w="10469"/>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Curricular Goal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C-7.1</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Competency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Develops accurate and appropriate models (including geometric, mathematical, graphical) to represent real-life events and phenomena using scientific principles — solenoid and electromagnet models.</w:t>
            </w:r>
          </w:p>
        </w:tc>
      </w:tr>
    </w:tbl>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59"/>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Image Required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No</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Prompt</w:t>
            </w:r>
          </w:p>
        </w:tc>
        <w:tc>
          <w:tcPr>
            <w:shd w:fill="auto" w:val="clear"/>
            <w:tcMar>
              <w:top w:w="100.0" w:type="dxa"/>
              <w:left w:w="100.0" w:type="dxa"/>
              <w:bottom w:w="100.0" w:type="dxa"/>
              <w:right w:w="100.0" w:type="dxa"/>
            </w:tcMar>
            <w:vAlign w:val="top"/>
          </w:tcPr>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Which of these has a magnetic field pattern similar to the one produced by a current-carrying solenoid?</w:t>
            </w:r>
          </w:p>
        </w:tc>
      </w:tr>
    </w:tbl>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60"/>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Correct Answer</w:t>
            </w:r>
          </w:p>
        </w:tc>
        <w:tc>
          <w:tcPr>
            <w:tcMar>
              <w:top w:w="100.0" w:type="dxa"/>
              <w:left w:w="100.0" w:type="dxa"/>
              <w:bottom w:w="100.0" w:type="dxa"/>
              <w:right w:w="100.0" w:type="dxa"/>
            </w:tcMar>
            <w:vAlign w:val="top"/>
          </w:tcPr>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Bar magnet</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 mark: Direct recall of which magnetic object a solenoid's field pattern resembles — basic factual knowledge from the chapter.</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1</w:t>
            </w:r>
          </w:p>
        </w:tc>
        <w:tc>
          <w:tcPr>
            <w:shd w:fill="auto" w:val="clear"/>
            <w:tcMar>
              <w:top w:w="100.0" w:type="dxa"/>
              <w:left w:w="100.0" w:type="dxa"/>
              <w:bottom w:w="100.0" w:type="dxa"/>
              <w:right w:w="100.0" w:type="dxa"/>
            </w:tcMar>
            <w:vAlign w:val="top"/>
          </w:tcPr>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Straight current-carrying wire</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Misconception: students may think the solenoid, being made of wire, produces a field like a straight wire, not realising that the coiling of the wire fundamentally changes the field pattern.</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2</w:t>
            </w:r>
          </w:p>
        </w:tc>
        <w:tc>
          <w:tcPr>
            <w:shd w:fill="auto" w:val="clear"/>
            <w:tcMar>
              <w:top w:w="100.0" w:type="dxa"/>
              <w:left w:w="100.0" w:type="dxa"/>
              <w:bottom w:w="100.0" w:type="dxa"/>
              <w:right w:w="100.0" w:type="dxa"/>
            </w:tcMar>
            <w:vAlign w:val="top"/>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Circular current-carrying loop</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Misconception: students may associate the solenoid only with its individual circular turns and think the combined effect is simply a circular loop field, not recognising that many closely-wound turns produce a uniform internal field like a bar magnet.</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3</w:t>
            </w:r>
          </w:p>
        </w:tc>
        <w:tc>
          <w:tcPr>
            <w:shd w:fill="auto" w:val="clear"/>
            <w:tcMar>
              <w:top w:w="100.0" w:type="dxa"/>
              <w:left w:w="100.0" w:type="dxa"/>
              <w:bottom w:w="100.0" w:type="dxa"/>
              <w:right w:w="100.0" w:type="dxa"/>
            </w:tcMar>
            <w:vAlign w:val="top"/>
          </w:tcPr>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Horseshoe magnet</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Misconception: students may confuse electromagnets (which can be shaped like a horseshoe) with a solenoid, not distinguishing the shape of the external field pattern from the identity of the component.</w:t>
            </w:r>
          </w:p>
        </w:tc>
      </w:tr>
    </w:tbl>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80" w:line="276" w:lineRule="auto"/>
        <w:ind w:left="0" w:right="0" w:firstLine="0"/>
        <w:jc w:val="left"/>
        <w:rPr>
          <w:b w:val="1"/>
          <w:bCs w:val="1"/>
        </w:rPr>
      </w:pPr>
      <w:r w:rsidDel="00000000" w:rsidR="00000000" w:rsidRPr="00000000">
        <w:rPr>
          <w:b w:val="1"/>
          <w:bCs w:val="1"/>
          <w:rtl w:val="0"/>
        </w:rPr>
        <w:t xml:space="preserve">Decision — mark x in the box next to your choice:</w:t>
      </w:r>
    </w:p>
    <w:tbl>
      <w:tblPr>
        <w:tblStyle w:val="Table61"/>
        <w:tblW w:w="81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900"/>
        <w:gridCol w:w="1800"/>
        <w:gridCol w:w="900"/>
        <w:gridCol w:w="1800"/>
        <w:gridCol w:w="900"/>
        <w:tblGridChange w:id="0">
          <w:tblGrid>
            <w:gridCol w:w="1800"/>
            <w:gridCol w:w="900"/>
            <w:gridCol w:w="1800"/>
            <w:gridCol w:w="900"/>
            <w:gridCol w:w="1800"/>
            <w:gridCol w:w="9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Accepted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Modified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Rejected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r>
    </w:tbl>
    <w:p w:rsidR="00000000" w:rsidDel="00000000" w:rsidP="00000000" w:rsidRDefault="00000000" w:rsidRPr="00000000" w14:paraId="00000256">
      <w:pPr>
        <w:widowControl w:val="0"/>
        <w:rPr>
          <w:b w:val="1"/>
          <w:bCs w:val="1"/>
        </w:rPr>
      </w:pPr>
      <w:r w:rsidDel="00000000" w:rsidR="00000000" w:rsidRPr="00000000">
        <w:rPr>
          <w:b w:val="1"/>
          <w:bCs w:val="1"/>
          <w:rtl w:val="0"/>
        </w:rPr>
        <w:t xml:space="preserve">Prompt was not a question.</w:t>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59">
      <w:pPr>
        <w:pStyle w:val="Heading2"/>
        <w:rPr/>
      </w:pPr>
      <w:bookmarkStart w:colFirst="0" w:colLast="0" w:name="_kduyjydw5gep" w:id="13"/>
      <w:bookmarkEnd w:id="13"/>
      <w:r w:rsidDel="00000000" w:rsidR="00000000" w:rsidRPr="00000000">
        <w:rPr>
          <w:rtl w:val="0"/>
        </w:rPr>
        <w:t xml:space="preserve">Question ID: SCI-G10-20260809-D8270E</w:t>
      </w:r>
    </w:p>
    <w:tbl>
      <w:tblPr>
        <w:tblStyle w:val="Table62"/>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7.25"/>
        <w:gridCol w:w="2617.25"/>
        <w:gridCol w:w="2617.25"/>
        <w:gridCol w:w="2617.25"/>
        <w:tblGridChange w:id="0">
          <w:tblGrid>
            <w:gridCol w:w="2617.25"/>
            <w:gridCol w:w="2617.25"/>
            <w:gridCol w:w="2617.25"/>
            <w:gridCol w:w="2617.25"/>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Subject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Class</w:t>
            </w:r>
          </w:p>
        </w:tc>
        <w:tc>
          <w:tcPr>
            <w:shd w:fill="d9d9d9" w:val="clear"/>
            <w:tcMar>
              <w:top w:w="100.0" w:type="dxa"/>
              <w:left w:w="100.0" w:type="dxa"/>
              <w:bottom w:w="100.0" w:type="dxa"/>
              <w:right w:w="100.0" w:type="dxa"/>
            </w:tcMar>
            <w:vAlign w:val="top"/>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DoK Level</w:t>
            </w:r>
          </w:p>
        </w:tc>
        <w:tc>
          <w:tcPr>
            <w:shd w:fill="d9d9d9" w:val="clear"/>
            <w:tcMar>
              <w:top w:w="100.0" w:type="dxa"/>
              <w:left w:w="100.0" w:type="dxa"/>
              <w:bottom w:w="100.0" w:type="dxa"/>
              <w:right w:w="100.0" w:type="dxa"/>
            </w:tcMar>
            <w:vAlign w:val="top"/>
          </w:tcPr>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Marks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Science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w:t>
            </w:r>
          </w:p>
        </w:tc>
      </w:tr>
    </w:tbl>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63"/>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9"/>
        <w:tblGridChange w:id="0">
          <w:tblGrid>
            <w:gridCol w:w="10469"/>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Curricular Goal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C-3.3</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Competency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C-3.3: Describes cellular mechanisms of heredity — DNA, genes and chromosomes.</w:t>
            </w:r>
          </w:p>
        </w:tc>
      </w:tr>
    </w:tbl>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64"/>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Image Required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No</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Prompt</w:t>
            </w:r>
          </w:p>
        </w:tc>
        <w:tc>
          <w:tcPr>
            <w:shd w:fill="auto" w:val="clear"/>
            <w:tcMar>
              <w:top w:w="100.0" w:type="dxa"/>
              <w:left w:w="100.0" w:type="dxa"/>
              <w:bottom w:w="100.0" w:type="dxa"/>
              <w:right w:w="100.0" w:type="dxa"/>
            </w:tcMar>
            <w:vAlign w:val="top"/>
          </w:tcPr>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Which of these is a section of DNA that contains the information required to make one particular protein?</w:t>
            </w:r>
          </w:p>
        </w:tc>
      </w:tr>
    </w:tbl>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65"/>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Correct Answer</w:t>
            </w:r>
          </w:p>
        </w:tc>
        <w:tc>
          <w:tcPr>
            <w:tcMar>
              <w:top w:w="100.0" w:type="dxa"/>
              <w:left w:w="100.0" w:type="dxa"/>
              <w:bottom w:w="100.0" w:type="dxa"/>
              <w:right w:w="100.0" w:type="dxa"/>
            </w:tcMar>
            <w:vAlign w:val="top"/>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Gene</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 mark — Direct concept-based question testing recall of the basic definition of a gene as stated in the chapter.</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1</w:t>
            </w:r>
          </w:p>
        </w:tc>
        <w:tc>
          <w:tcPr>
            <w:shd w:fill="auto" w:val="clear"/>
            <w:tcMar>
              <w:top w:w="100.0" w:type="dxa"/>
              <w:left w:w="100.0" w:type="dxa"/>
              <w:bottom w:w="100.0" w:type="dxa"/>
              <w:right w:w="100.0" w:type="dxa"/>
            </w:tcMar>
            <w:vAlign w:val="top"/>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Chromosome</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Students often confuse a gene with a chromosome, not recognising that a chromosome is a long DNA thread made up of many genes, while a gene is just one functional section of it.</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2</w:t>
            </w:r>
          </w:p>
        </w:tc>
        <w:tc>
          <w:tcPr>
            <w:shd w:fill="auto" w:val="clear"/>
            <w:tcMar>
              <w:top w:w="100.0" w:type="dxa"/>
              <w:left w:w="100.0" w:type="dxa"/>
              <w:bottom w:w="100.0" w:type="dxa"/>
              <w:right w:w="100.0" w:type="dxa"/>
            </w:tcMar>
            <w:vAlign w:val="top"/>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Genome</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Students may confuse 'gene' with 'genome', mistakenly thinking a single protein-coding section of DNA is the same as the complete set of genetic material of an organism.</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3</w:t>
            </w:r>
          </w:p>
        </w:tc>
        <w:tc>
          <w:tcPr>
            <w:shd w:fill="auto" w:val="clear"/>
            <w:tcMar>
              <w:top w:w="100.0" w:type="dxa"/>
              <w:left w:w="100.0" w:type="dxa"/>
              <w:bottom w:w="100.0" w:type="dxa"/>
              <w:right w:w="100.0" w:type="dxa"/>
            </w:tcMar>
            <w:vAlign w:val="top"/>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Allele</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Students may confuse a gene with an allele, not understanding that an allele is one particular version (e.g., T or t) of a gene, not the gene itself.</w:t>
            </w:r>
          </w:p>
        </w:tc>
      </w:tr>
    </w:tbl>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80" w:line="276" w:lineRule="auto"/>
        <w:ind w:left="0" w:right="0" w:firstLine="0"/>
        <w:jc w:val="left"/>
        <w:rPr>
          <w:b w:val="1"/>
          <w:bCs w:val="1"/>
        </w:rPr>
      </w:pPr>
      <w:r w:rsidDel="00000000" w:rsidR="00000000" w:rsidRPr="00000000">
        <w:rPr>
          <w:b w:val="1"/>
          <w:bCs w:val="1"/>
          <w:rtl w:val="0"/>
        </w:rPr>
        <w:t xml:space="preserve">Decision — mark x in the box next to your choice:</w:t>
      </w:r>
    </w:p>
    <w:tbl>
      <w:tblPr>
        <w:tblStyle w:val="Table66"/>
        <w:tblW w:w="81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900"/>
        <w:gridCol w:w="1800"/>
        <w:gridCol w:w="900"/>
        <w:gridCol w:w="1800"/>
        <w:gridCol w:w="900"/>
        <w:tblGridChange w:id="0">
          <w:tblGrid>
            <w:gridCol w:w="1800"/>
            <w:gridCol w:w="900"/>
            <w:gridCol w:w="1800"/>
            <w:gridCol w:w="900"/>
            <w:gridCol w:w="1800"/>
            <w:gridCol w:w="9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Accepted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Modified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Rejected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r>
    </w:tbl>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Prompt not a question</w:t>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8A">
      <w:pPr>
        <w:pStyle w:val="Heading2"/>
        <w:rPr/>
      </w:pPr>
      <w:bookmarkStart w:colFirst="0" w:colLast="0" w:name="_hpy61zwimxu5" w:id="14"/>
      <w:bookmarkEnd w:id="14"/>
      <w:r w:rsidDel="00000000" w:rsidR="00000000" w:rsidRPr="00000000">
        <w:rPr>
          <w:rtl w:val="0"/>
        </w:rPr>
        <w:t xml:space="preserve">Question ID: SCI-G10-20260809-26303D</w:t>
      </w:r>
    </w:p>
    <w:tbl>
      <w:tblPr>
        <w:tblStyle w:val="Table67"/>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7.25"/>
        <w:gridCol w:w="2617.25"/>
        <w:gridCol w:w="2617.25"/>
        <w:gridCol w:w="2617.25"/>
        <w:tblGridChange w:id="0">
          <w:tblGrid>
            <w:gridCol w:w="2617.25"/>
            <w:gridCol w:w="2617.25"/>
            <w:gridCol w:w="2617.25"/>
            <w:gridCol w:w="2617.25"/>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Subject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Class</w:t>
            </w:r>
          </w:p>
        </w:tc>
        <w:tc>
          <w:tcPr>
            <w:shd w:fill="d9d9d9" w:val="clear"/>
            <w:tcMar>
              <w:top w:w="100.0" w:type="dxa"/>
              <w:left w:w="100.0" w:type="dxa"/>
              <w:bottom w:w="100.0" w:type="dxa"/>
              <w:right w:w="100.0" w:type="dxa"/>
            </w:tcMar>
            <w:vAlign w:val="top"/>
          </w:tcPr>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DoK Level</w:t>
            </w:r>
          </w:p>
        </w:tc>
        <w:tc>
          <w:tcPr>
            <w:shd w:fill="d9d9d9" w:val="clear"/>
            <w:tcMar>
              <w:top w:w="100.0" w:type="dxa"/>
              <w:left w:w="100.0" w:type="dxa"/>
              <w:bottom w:w="100.0" w:type="dxa"/>
              <w:right w:w="100.0" w:type="dxa"/>
            </w:tcMar>
            <w:vAlign w:val="top"/>
          </w:tcPr>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Marks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Science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w:t>
            </w:r>
          </w:p>
        </w:tc>
      </w:tr>
    </w:tbl>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68"/>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9"/>
        <w:tblGridChange w:id="0">
          <w:tblGrid>
            <w:gridCol w:w="10469"/>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Curricular Goal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C-7.1</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Competency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C-7.1: Develops accurate mathematical models — mirror and lens formulae.</w:t>
            </w:r>
          </w:p>
        </w:tc>
      </w:tr>
    </w:tbl>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69"/>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Image Required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No</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Prompt</w:t>
            </w:r>
          </w:p>
        </w:tc>
        <w:tc>
          <w:tcPr>
            <w:shd w:fill="auto" w:val="clear"/>
            <w:tcMar>
              <w:top w:w="100.0" w:type="dxa"/>
              <w:left w:w="100.0" w:type="dxa"/>
              <w:bottom w:w="100.0" w:type="dxa"/>
              <w:right w:w="100.0" w:type="dxa"/>
            </w:tcMar>
            <w:vAlign w:val="top"/>
          </w:tcPr>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Which of these is the mirror formula relating object distance (u), image distance (v) and focal length (f) of a spherical mirror?</w:t>
            </w:r>
          </w:p>
        </w:tc>
      </w:tr>
    </w:tbl>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70"/>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Correct Answer</w:t>
            </w:r>
          </w:p>
        </w:tc>
        <w:tc>
          <w:tcPr>
            <w:tcMar>
              <w:top w:w="100.0" w:type="dxa"/>
              <w:left w:w="100.0" w:type="dxa"/>
              <w:bottom w:w="100.0" w:type="dxa"/>
              <w:right w:w="100.0" w:type="dxa"/>
            </w:tcMar>
            <w:vAlign w:val="top"/>
          </w:tcPr>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1/v + 1/u = 1/f</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 mark — Direct recall of the standard mirror formula exactly as stated in the chapter, with no substitution or computation involved.</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1</w:t>
            </w:r>
          </w:p>
        </w:tc>
        <w:tc>
          <w:tcPr>
            <w:shd w:fill="auto" w:val="clear"/>
            <w:tcMar>
              <w:top w:w="100.0" w:type="dxa"/>
              <w:left w:w="100.0" w:type="dxa"/>
              <w:bottom w:w="100.0" w:type="dxa"/>
              <w:right w:w="100.0" w:type="dxa"/>
            </w:tcMar>
            <w:vAlign w:val="top"/>
          </w:tcPr>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Fonts w:ascii="Arial Unicode MS" w:cs="Arial Unicode MS" w:eastAsia="Arial Unicode MS" w:hAnsi="Arial Unicode MS"/>
                <w:b w:val="1"/>
                <w:bCs w:val="1"/>
                <w:rtl w:val="0"/>
              </w:rPr>
              <w:t xml:space="preserve">1/v − 1/u = 1/f</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Fonts w:ascii="Arial Unicode MS" w:cs="Arial Unicode MS" w:eastAsia="Arial Unicode MS" w:hAnsi="Arial Unicode MS"/>
                <w:rtl w:val="0"/>
              </w:rPr>
              <w:t xml:space="preserve">Misconception: students often confuse the mirror formula with the lens formula (1/v − 1/u = 1/f), since the two formulas look very similar but differ by a sign.</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2</w:t>
            </w:r>
          </w:p>
        </w:tc>
        <w:tc>
          <w:tcPr>
            <w:shd w:fill="auto" w:val="clear"/>
            <w:tcMar>
              <w:top w:w="100.0" w:type="dxa"/>
              <w:left w:w="100.0" w:type="dxa"/>
              <w:bottom w:w="100.0" w:type="dxa"/>
              <w:right w:w="100.0" w:type="dxa"/>
            </w:tcMar>
            <w:vAlign w:val="top"/>
          </w:tcPr>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v + u = f</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Misconception: students may oversimplify the relationship by adding the distances directly, treating it like a simple linear sum rather than the correct reciprocal relationship.</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3</w:t>
            </w:r>
          </w:p>
        </w:tc>
        <w:tc>
          <w:tcPr>
            <w:shd w:fill="auto" w:val="clear"/>
            <w:tcMar>
              <w:top w:w="100.0" w:type="dxa"/>
              <w:left w:w="100.0" w:type="dxa"/>
              <w:bottom w:w="100.0" w:type="dxa"/>
              <w:right w:w="100.0" w:type="dxa"/>
            </w:tcMar>
            <w:vAlign w:val="top"/>
          </w:tcPr>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1/v × 1/u = 1/f</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Misconception: students may misremember the structure of the formula as a multiplication of reciprocals rather than their addition.</w:t>
            </w:r>
          </w:p>
        </w:tc>
      </w:tr>
    </w:tbl>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80" w:line="276" w:lineRule="auto"/>
        <w:ind w:left="0" w:right="0" w:firstLine="0"/>
        <w:jc w:val="left"/>
        <w:rPr>
          <w:b w:val="1"/>
          <w:bCs w:val="1"/>
        </w:rPr>
      </w:pPr>
      <w:r w:rsidDel="00000000" w:rsidR="00000000" w:rsidRPr="00000000">
        <w:rPr>
          <w:b w:val="1"/>
          <w:bCs w:val="1"/>
          <w:rtl w:val="0"/>
        </w:rPr>
        <w:t xml:space="preserve">Decision — mark x in the box next to your choice:</w:t>
      </w:r>
    </w:p>
    <w:tbl>
      <w:tblPr>
        <w:tblStyle w:val="Table71"/>
        <w:tblW w:w="81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900"/>
        <w:gridCol w:w="1800"/>
        <w:gridCol w:w="900"/>
        <w:gridCol w:w="1800"/>
        <w:gridCol w:w="900"/>
        <w:tblGridChange w:id="0">
          <w:tblGrid>
            <w:gridCol w:w="1800"/>
            <w:gridCol w:w="900"/>
            <w:gridCol w:w="1800"/>
            <w:gridCol w:w="900"/>
            <w:gridCol w:w="1800"/>
            <w:gridCol w:w="9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Accepted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Modified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Rejected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r>
    </w:tbl>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Prompt was verbose</w:t>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BB">
      <w:pPr>
        <w:pStyle w:val="Heading2"/>
        <w:rPr/>
      </w:pPr>
      <w:bookmarkStart w:colFirst="0" w:colLast="0" w:name="_aygrtq6a1ny2" w:id="15"/>
      <w:bookmarkEnd w:id="15"/>
      <w:r w:rsidDel="00000000" w:rsidR="00000000" w:rsidRPr="00000000">
        <w:rPr>
          <w:rtl w:val="0"/>
        </w:rPr>
        <w:t xml:space="preserve">Question ID: SCI-G10-20260809-12E15B</w:t>
      </w:r>
    </w:p>
    <w:tbl>
      <w:tblPr>
        <w:tblStyle w:val="Table72"/>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7.25"/>
        <w:gridCol w:w="2617.25"/>
        <w:gridCol w:w="2617.25"/>
        <w:gridCol w:w="2617.25"/>
        <w:tblGridChange w:id="0">
          <w:tblGrid>
            <w:gridCol w:w="2617.25"/>
            <w:gridCol w:w="2617.25"/>
            <w:gridCol w:w="2617.25"/>
            <w:gridCol w:w="2617.25"/>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Subject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Class</w:t>
            </w:r>
          </w:p>
        </w:tc>
        <w:tc>
          <w:tcPr>
            <w:shd w:fill="d9d9d9" w:val="clear"/>
            <w:tcMar>
              <w:top w:w="100.0" w:type="dxa"/>
              <w:left w:w="100.0" w:type="dxa"/>
              <w:bottom w:w="100.0" w:type="dxa"/>
              <w:right w:w="100.0" w:type="dxa"/>
            </w:tcMar>
            <w:vAlign w:val="top"/>
          </w:tcPr>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DoK Level</w:t>
            </w:r>
          </w:p>
        </w:tc>
        <w:tc>
          <w:tcPr>
            <w:shd w:fill="d9d9d9" w:val="clear"/>
            <w:tcMar>
              <w:top w:w="100.0" w:type="dxa"/>
              <w:left w:w="100.0" w:type="dxa"/>
              <w:bottom w:w="100.0" w:type="dxa"/>
              <w:right w:w="100.0" w:type="dxa"/>
            </w:tcMar>
            <w:vAlign w:val="top"/>
          </w:tcPr>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Marks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Science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w:t>
            </w:r>
          </w:p>
        </w:tc>
      </w:tr>
    </w:tbl>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73"/>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9"/>
        <w:tblGridChange w:id="0">
          <w:tblGrid>
            <w:gridCol w:w="10469"/>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Curricular Goal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C-1.1</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Competency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C-1.1: Covalent bonding and electron dot structures</w:t>
            </w:r>
          </w:p>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 Covalent bonding</w:t>
            </w:r>
          </w:p>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 Electron dot structures</w:t>
            </w:r>
          </w:p>
        </w:tc>
      </w:tr>
    </w:tbl>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74"/>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A student is asked to draw the electron dot structure of a molecule of ammonia (NH</w:t>
            </w:r>
            <w:r w:rsidDel="00000000" w:rsidR="00000000" w:rsidRPr="00000000">
              <w:rPr>
                <w:vertAlign w:val="subscript"/>
                <w:rtl w:val="0"/>
              </w:rPr>
              <w:t xml:space="preserve">3</w:t>
            </w:r>
            <w:r w:rsidDel="00000000" w:rsidR="00000000" w:rsidRPr="00000000">
              <w:rPr>
                <w:rtl w:val="0"/>
              </w:rPr>
              <w:t xml:space="preserve">), where nitrogen has 5 valence electrons and hydrogen has 1 valence electron each.</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Image Required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No</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Prompt</w:t>
            </w:r>
          </w:p>
        </w:tc>
        <w:tc>
          <w:tcPr>
            <w:shd w:fill="auto" w:val="clear"/>
            <w:tcMar>
              <w:top w:w="100.0" w:type="dxa"/>
              <w:left w:w="100.0" w:type="dxa"/>
              <w:bottom w:w="100.0" w:type="dxa"/>
              <w:right w:w="100.0" w:type="dxa"/>
            </w:tcMar>
            <w:vAlign w:val="top"/>
          </w:tcPr>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Which of the following describes the bonding and the number of shared electron pairs in NH</w:t>
            </w:r>
            <w:r w:rsidDel="00000000" w:rsidR="00000000" w:rsidRPr="00000000">
              <w:rPr>
                <w:vertAlign w:val="subscript"/>
                <w:rtl w:val="0"/>
              </w:rPr>
              <w:t xml:space="preserve">3</w:t>
            </w:r>
            <w:r w:rsidDel="00000000" w:rsidR="00000000" w:rsidRPr="00000000">
              <w:rPr>
                <w:rtl w:val="0"/>
              </w:rPr>
              <w:t xml:space="preserve">?</w:t>
            </w:r>
          </w:p>
        </w:tc>
      </w:tr>
    </w:tbl>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75"/>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Correct Answer</w:t>
            </w:r>
          </w:p>
        </w:tc>
        <w:tc>
          <w:tcPr>
            <w:tcMar>
              <w:top w:w="100.0" w:type="dxa"/>
              <w:left w:w="100.0" w:type="dxa"/>
              <w:bottom w:w="100.0" w:type="dxa"/>
              <w:right w:w="100.0" w:type="dxa"/>
            </w:tcMar>
            <w:vAlign w:val="top"/>
          </w:tcPr>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Nitrogen shares 3 electron pairs, one with each hydrogen atom, and is left with 1 lone pair of electrons</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 Marks: Requires applying the concept of covalent bonding and valence electron sharing to a specific molecule (NH3), connecting the idea of octet completion with the correct number of shared pairs and lone pairs — a skill-based application of a previously learned concept.</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1</w:t>
            </w:r>
          </w:p>
        </w:tc>
        <w:tc>
          <w:tcPr>
            <w:shd w:fill="auto" w:val="clear"/>
            <w:tcMar>
              <w:top w:w="100.0" w:type="dxa"/>
              <w:left w:w="100.0" w:type="dxa"/>
              <w:bottom w:w="100.0" w:type="dxa"/>
              <w:right w:w="100.0" w:type="dxa"/>
            </w:tcMar>
            <w:vAlign w:val="top"/>
          </w:tcPr>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Nitrogen shares all 5 of its valence electrons equally with the three hydrogen atoms</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Students may incorrectly assume that ALL valence electrons of the central atom participate in bonding, not recognising that only enough electrons are shared to complete the octet, leaving a lone pair unshared — a frequent error when constructing electron dot structures.</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2</w:t>
            </w:r>
          </w:p>
        </w:tc>
        <w:tc>
          <w:tcPr>
            <w:shd w:fill="auto" w:val="clear"/>
            <w:tcMar>
              <w:top w:w="100.0" w:type="dxa"/>
              <w:left w:w="100.0" w:type="dxa"/>
              <w:bottom w:w="100.0" w:type="dxa"/>
              <w:right w:w="100.0" w:type="dxa"/>
            </w:tcMar>
            <w:vAlign w:val="top"/>
          </w:tcPr>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Each hydrogen atom shares 2 electrons with nitrogen, forming three double bonds</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Students may confuse the number of electrons shared per bond, mistakenly forming double bonds with hydrogen (which can only form one bond, having just one electron to share), reflecting an error in applying valency rules to hydrogen.</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3</w:t>
            </w:r>
          </w:p>
        </w:tc>
        <w:tc>
          <w:tcPr>
            <w:shd w:fill="auto" w:val="clear"/>
            <w:tcMar>
              <w:top w:w="100.0" w:type="dxa"/>
              <w:left w:w="100.0" w:type="dxa"/>
              <w:bottom w:w="100.0" w:type="dxa"/>
              <w:right w:w="100.0" w:type="dxa"/>
            </w:tcMar>
            <w:vAlign w:val="top"/>
          </w:tcPr>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Nitrogen gains 3 electrons from the hydrogen atoms to complete its octet, forming an ionic bond</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Students may confuse covalent bonding (sharing of electrons) with ionic bonding (transfer of electrons), incorrectly applying the ionic bond-formation logic learnt for compounds like NaCl to a covalent molecule.</w:t>
            </w:r>
          </w:p>
        </w:tc>
      </w:tr>
    </w:tbl>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80" w:line="276" w:lineRule="auto"/>
        <w:ind w:left="0" w:right="0" w:firstLine="0"/>
        <w:jc w:val="left"/>
        <w:rPr>
          <w:b w:val="1"/>
          <w:bCs w:val="1"/>
        </w:rPr>
      </w:pPr>
      <w:r w:rsidDel="00000000" w:rsidR="00000000" w:rsidRPr="00000000">
        <w:rPr>
          <w:b w:val="1"/>
          <w:bCs w:val="1"/>
          <w:rtl w:val="0"/>
        </w:rPr>
        <w:t xml:space="preserve">Decision — mark x in the box next to your choice:</w:t>
      </w:r>
    </w:p>
    <w:tbl>
      <w:tblPr>
        <w:tblStyle w:val="Table76"/>
        <w:tblW w:w="81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900"/>
        <w:gridCol w:w="1800"/>
        <w:gridCol w:w="900"/>
        <w:gridCol w:w="1800"/>
        <w:gridCol w:w="900"/>
        <w:tblGridChange w:id="0">
          <w:tblGrid>
            <w:gridCol w:w="1800"/>
            <w:gridCol w:w="900"/>
            <w:gridCol w:w="1800"/>
            <w:gridCol w:w="900"/>
            <w:gridCol w:w="1800"/>
            <w:gridCol w:w="9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Accepted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Modified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Rejected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r>
    </w:tbl>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Ammonia formula did not show 3 as subscript.</w:t>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EE">
      <w:pPr>
        <w:pStyle w:val="Heading2"/>
        <w:rPr/>
      </w:pPr>
      <w:bookmarkStart w:colFirst="0" w:colLast="0" w:name="_hcwpzeww7hva" w:id="16"/>
      <w:bookmarkEnd w:id="16"/>
      <w:r w:rsidDel="00000000" w:rsidR="00000000" w:rsidRPr="00000000">
        <w:rPr>
          <w:rtl w:val="0"/>
        </w:rPr>
        <w:t xml:space="preserve">Question ID: SCI-G10-20260809-FC2233</w:t>
      </w:r>
    </w:p>
    <w:tbl>
      <w:tblPr>
        <w:tblStyle w:val="Table77"/>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7.25"/>
        <w:gridCol w:w="2617.25"/>
        <w:gridCol w:w="2617.25"/>
        <w:gridCol w:w="2617.25"/>
        <w:tblGridChange w:id="0">
          <w:tblGrid>
            <w:gridCol w:w="2617.25"/>
            <w:gridCol w:w="2617.25"/>
            <w:gridCol w:w="2617.25"/>
            <w:gridCol w:w="2617.25"/>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Subject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Class</w:t>
            </w:r>
          </w:p>
        </w:tc>
        <w:tc>
          <w:tcPr>
            <w:shd w:fill="d9d9d9" w:val="clear"/>
            <w:tcMar>
              <w:top w:w="100.0" w:type="dxa"/>
              <w:left w:w="100.0" w:type="dxa"/>
              <w:bottom w:w="100.0" w:type="dxa"/>
              <w:right w:w="100.0" w:type="dxa"/>
            </w:tcMar>
            <w:vAlign w:val="top"/>
          </w:tcPr>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DoK Level</w:t>
            </w:r>
          </w:p>
        </w:tc>
        <w:tc>
          <w:tcPr>
            <w:shd w:fill="d9d9d9" w:val="clear"/>
            <w:tcMar>
              <w:top w:w="100.0" w:type="dxa"/>
              <w:left w:w="100.0" w:type="dxa"/>
              <w:bottom w:w="100.0" w:type="dxa"/>
              <w:right w:w="100.0" w:type="dxa"/>
            </w:tcMar>
            <w:vAlign w:val="top"/>
          </w:tcPr>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Marks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Science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w:t>
            </w:r>
          </w:p>
        </w:tc>
      </w:tr>
    </w:tbl>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78"/>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9"/>
        <w:tblGridChange w:id="0">
          <w:tblGrid>
            <w:gridCol w:w="10469"/>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Curricular Goal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C-3.2</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Competency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C-3.2 &amp; C-3.1: Life processes — Nutrition in humans; role of cellular components in digestion.</w:t>
            </w:r>
          </w:p>
        </w:tc>
      </w:tr>
    </w:tbl>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79"/>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The inner lining of the small intestine has finger-like projections called villi. Mohit claims: 'If the villi were absent, digestion of food would stop completely.'</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Image Required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No</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Prompt</w:t>
            </w:r>
          </w:p>
        </w:tc>
        <w:tc>
          <w:tcPr>
            <w:shd w:fill="auto" w:val="clear"/>
            <w:tcMar>
              <w:top w:w="100.0" w:type="dxa"/>
              <w:left w:w="100.0" w:type="dxa"/>
              <w:bottom w:w="100.0" w:type="dxa"/>
              <w:right w:w="100.0" w:type="dxa"/>
            </w:tcMar>
            <w:vAlign w:val="top"/>
          </w:tcPr>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Which of the following best evaluates this claim?</w:t>
            </w:r>
          </w:p>
        </w:tc>
      </w:tr>
    </w:tbl>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80"/>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Correct Answer</w:t>
            </w:r>
          </w:p>
        </w:tc>
        <w:tc>
          <w:tcPr>
            <w:tcMar>
              <w:top w:w="100.0" w:type="dxa"/>
              <w:left w:w="100.0" w:type="dxa"/>
              <w:bottom w:w="100.0" w:type="dxa"/>
              <w:right w:w="100.0" w:type="dxa"/>
            </w:tcMar>
            <w:vAlign w:val="top"/>
          </w:tcPr>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The claim is partially incorrect — digestion can still occur in the small intestine, but absorption of digested food into the blood would be severely reduced</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 Marks – Requires distinguishing between digestion (chemical breakdown) and absorption (uptake into blood), and evaluating a student claim by connecting the structural role of villi to absorption, not digestion.</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1</w:t>
            </w:r>
          </w:p>
        </w:tc>
        <w:tc>
          <w:tcPr>
            <w:shd w:fill="auto" w:val="clear"/>
            <w:tcMar>
              <w:top w:w="100.0" w:type="dxa"/>
              <w:left w:w="100.0" w:type="dxa"/>
              <w:bottom w:w="100.0" w:type="dxa"/>
              <w:right w:w="100.0" w:type="dxa"/>
            </w:tcMar>
            <w:vAlign w:val="top"/>
          </w:tcPr>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The claim is correct because villi produce all digestive enzymes needed to break down food</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Students commonly confuse digestion and absorption, and may believe villi produce enzymes. Villi increase surface area for absorption, not enzyme production — this targets that conceptual conflation.</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2</w:t>
            </w:r>
          </w:p>
        </w:tc>
        <w:tc>
          <w:tcPr>
            <w:shd w:fill="auto" w:val="clear"/>
            <w:tcMar>
              <w:top w:w="100.0" w:type="dxa"/>
              <w:left w:w="100.0" w:type="dxa"/>
              <w:bottom w:w="100.0" w:type="dxa"/>
              <w:right w:w="100.0" w:type="dxa"/>
            </w:tcMar>
            <w:vAlign w:val="top"/>
          </w:tcPr>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The claim is incorrect because digestion occurs in the stomach alone and is already complete before food reaches the small intestine</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Students may oversimplify and think the stomach handles all digestion. The small intestine is actually the primary site of complete digestion, so this tests whether students understand the sequential nature of the alimentary canal.</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3</w:t>
            </w:r>
          </w:p>
        </w:tc>
        <w:tc>
          <w:tcPr>
            <w:shd w:fill="auto" w:val="clear"/>
            <w:tcMar>
              <w:top w:w="100.0" w:type="dxa"/>
              <w:left w:w="100.0" w:type="dxa"/>
              <w:bottom w:w="100.0" w:type="dxa"/>
              <w:right w:w="100.0" w:type="dxa"/>
            </w:tcMar>
            <w:vAlign w:val="top"/>
          </w:tcPr>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The claim is correct because villi control the movement of food (peristalsis) through the intestine</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Peristalsis is caused by muscular contractions in the gut wall, not by villi. This distractor targets the misconception that villi are involved in food movement rather than surface area for absorption.</w:t>
            </w:r>
          </w:p>
        </w:tc>
      </w:tr>
    </w:tbl>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80" w:line="276" w:lineRule="auto"/>
        <w:ind w:left="0" w:right="0" w:firstLine="0"/>
        <w:jc w:val="left"/>
        <w:rPr>
          <w:b w:val="1"/>
          <w:bCs w:val="1"/>
        </w:rPr>
      </w:pPr>
      <w:r w:rsidDel="00000000" w:rsidR="00000000" w:rsidRPr="00000000">
        <w:rPr>
          <w:b w:val="1"/>
          <w:bCs w:val="1"/>
          <w:rtl w:val="0"/>
        </w:rPr>
        <w:t xml:space="preserve">Decision — mark x in the box next to your choice:</w:t>
      </w:r>
    </w:p>
    <w:tbl>
      <w:tblPr>
        <w:tblStyle w:val="Table81"/>
        <w:tblW w:w="81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900"/>
        <w:gridCol w:w="1800"/>
        <w:gridCol w:w="900"/>
        <w:gridCol w:w="1800"/>
        <w:gridCol w:w="900"/>
        <w:tblGridChange w:id="0">
          <w:tblGrid>
            <w:gridCol w:w="1800"/>
            <w:gridCol w:w="900"/>
            <w:gridCol w:w="1800"/>
            <w:gridCol w:w="900"/>
            <w:gridCol w:w="1800"/>
            <w:gridCol w:w="9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Accepted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Modified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Rejected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x</w:t>
            </w:r>
          </w:p>
        </w:tc>
      </w:tr>
    </w:tbl>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Prompt incorrectly uses the verb - evaluate</w:t>
      </w:r>
    </w:p>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1F">
      <w:pPr>
        <w:pStyle w:val="Heading2"/>
        <w:rPr/>
      </w:pPr>
      <w:bookmarkStart w:colFirst="0" w:colLast="0" w:name="_cr39s96qye03" w:id="17"/>
      <w:bookmarkEnd w:id="17"/>
      <w:r w:rsidDel="00000000" w:rsidR="00000000" w:rsidRPr="00000000">
        <w:rPr>
          <w:rtl w:val="0"/>
        </w:rPr>
        <w:t xml:space="preserve">Question ID: SCI-G10-20260809-4C389E</w:t>
      </w:r>
    </w:p>
    <w:tbl>
      <w:tblPr>
        <w:tblStyle w:val="Table82"/>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7.25"/>
        <w:gridCol w:w="2617.25"/>
        <w:gridCol w:w="2617.25"/>
        <w:gridCol w:w="2617.25"/>
        <w:tblGridChange w:id="0">
          <w:tblGrid>
            <w:gridCol w:w="2617.25"/>
            <w:gridCol w:w="2617.25"/>
            <w:gridCol w:w="2617.25"/>
            <w:gridCol w:w="2617.25"/>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Subject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Class</w:t>
            </w:r>
          </w:p>
        </w:tc>
        <w:tc>
          <w:tcPr>
            <w:shd w:fill="d9d9d9" w:val="clear"/>
            <w:tcMar>
              <w:top w:w="100.0" w:type="dxa"/>
              <w:left w:w="100.0" w:type="dxa"/>
              <w:bottom w:w="100.0" w:type="dxa"/>
              <w:right w:w="100.0" w:type="dxa"/>
            </w:tcMar>
            <w:vAlign w:val="top"/>
          </w:tcPr>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DoK Level</w:t>
            </w:r>
          </w:p>
        </w:tc>
        <w:tc>
          <w:tcPr>
            <w:shd w:fill="d9d9d9" w:val="clear"/>
            <w:tcMar>
              <w:top w:w="100.0" w:type="dxa"/>
              <w:left w:w="100.0" w:type="dxa"/>
              <w:bottom w:w="100.0" w:type="dxa"/>
              <w:right w:w="100.0" w:type="dxa"/>
            </w:tcMar>
            <w:vAlign w:val="top"/>
          </w:tcPr>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Marks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Science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w:t>
            </w:r>
          </w:p>
        </w:tc>
      </w:tr>
    </w:tbl>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83"/>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9"/>
        <w:tblGridChange w:id="0">
          <w:tblGrid>
            <w:gridCol w:w="10469"/>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Curricular Goal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C-1.3</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Competency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Describes and represents chemical interactions using equations — reactions of metal carbonates and metal hydrogencarbonates with acids, producing salt, carbon dioxide, and water.</w:t>
            </w:r>
          </w:p>
        </w:tc>
      </w:tr>
    </w:tbl>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84"/>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Image Required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No</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Prompt</w:t>
            </w:r>
          </w:p>
        </w:tc>
        <w:tc>
          <w:tcPr>
            <w:shd w:fill="auto" w:val="clear"/>
            <w:tcMar>
              <w:top w:w="100.0" w:type="dxa"/>
              <w:left w:w="100.0" w:type="dxa"/>
              <w:bottom w:w="100.0" w:type="dxa"/>
              <w:right w:w="100.0" w:type="dxa"/>
            </w:tcMar>
            <w:vAlign w:val="top"/>
          </w:tcPr>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Which gas is released, when a metal carbonate reacts with a dilute acid?</w:t>
            </w:r>
          </w:p>
        </w:tc>
      </w:tr>
    </w:tbl>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85"/>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Correct Answer</w:t>
            </w:r>
          </w:p>
        </w:tc>
        <w:tc>
          <w:tcPr>
            <w:tcMar>
              <w:top w:w="100.0" w:type="dxa"/>
              <w:left w:w="100.0" w:type="dxa"/>
              <w:bottom w:w="100.0" w:type="dxa"/>
              <w:right w:w="100.0" w:type="dxa"/>
            </w:tcMar>
            <w:vAlign w:val="top"/>
          </w:tcPr>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Carbon dioxide</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 mark: Direct recall of the gas produced when a metal carbonate reacts with a dilute acid — a basic factual knowledge question requiring no analysis.</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1</w:t>
            </w:r>
          </w:p>
        </w:tc>
        <w:tc>
          <w:tcPr>
            <w:shd w:fill="auto" w:val="clear"/>
            <w:tcMar>
              <w:top w:w="100.0" w:type="dxa"/>
              <w:left w:w="100.0" w:type="dxa"/>
              <w:bottom w:w="100.0" w:type="dxa"/>
              <w:right w:w="100.0" w:type="dxa"/>
            </w:tcMar>
            <w:vAlign w:val="top"/>
          </w:tcPr>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Hydrogen </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Misconception: students may confuse this reaction with the reaction of an acid with a metal (which produces H2 gas), not distinguishing between metal-acid and metal carbonate-acid reactions.</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2</w:t>
            </w:r>
          </w:p>
        </w:tc>
        <w:tc>
          <w:tcPr>
            <w:shd w:fill="auto" w:val="clear"/>
            <w:tcMar>
              <w:top w:w="100.0" w:type="dxa"/>
              <w:left w:w="100.0" w:type="dxa"/>
              <w:bottom w:w="100.0" w:type="dxa"/>
              <w:right w:w="100.0" w:type="dxa"/>
            </w:tcMar>
            <w:vAlign w:val="top"/>
          </w:tcPr>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Oxygen</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Misconception: students may generically associate any gas evolved during a chemical reaction with oxygen, rather than identifying the specific gas formed in this reaction.</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3</w:t>
            </w:r>
          </w:p>
        </w:tc>
        <w:tc>
          <w:tcPr>
            <w:shd w:fill="auto" w:val="clear"/>
            <w:tcMar>
              <w:top w:w="100.0" w:type="dxa"/>
              <w:left w:w="100.0" w:type="dxa"/>
              <w:bottom w:w="100.0" w:type="dxa"/>
              <w:right w:w="100.0" w:type="dxa"/>
            </w:tcMar>
            <w:vAlign w:val="top"/>
          </w:tcPr>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Chlorine</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Misconception: students may wrongly associate chlorine gas with reactions involving HCl, assuming any reaction using hydrochloric acid releases chlorine gas as a product.</w:t>
            </w:r>
          </w:p>
        </w:tc>
      </w:tr>
    </w:tbl>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80" w:line="276" w:lineRule="auto"/>
        <w:ind w:left="0" w:right="0" w:firstLine="0"/>
        <w:jc w:val="left"/>
        <w:rPr>
          <w:b w:val="1"/>
          <w:bCs w:val="1"/>
        </w:rPr>
      </w:pPr>
      <w:r w:rsidDel="00000000" w:rsidR="00000000" w:rsidRPr="00000000">
        <w:rPr>
          <w:b w:val="1"/>
          <w:bCs w:val="1"/>
          <w:rtl w:val="0"/>
        </w:rPr>
        <w:t xml:space="preserve">Decision — mark x in the box next to your choice:</w:t>
      </w:r>
    </w:p>
    <w:tbl>
      <w:tblPr>
        <w:tblStyle w:val="Table86"/>
        <w:tblW w:w="81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900"/>
        <w:gridCol w:w="1800"/>
        <w:gridCol w:w="900"/>
        <w:gridCol w:w="1800"/>
        <w:gridCol w:w="900"/>
        <w:tblGridChange w:id="0">
          <w:tblGrid>
            <w:gridCol w:w="1800"/>
            <w:gridCol w:w="900"/>
            <w:gridCol w:w="1800"/>
            <w:gridCol w:w="900"/>
            <w:gridCol w:w="1800"/>
            <w:gridCol w:w="9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Accepted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Modified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Rejected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r>
    </w:tbl>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50">
      <w:pPr>
        <w:pStyle w:val="Heading2"/>
        <w:rPr/>
      </w:pPr>
      <w:bookmarkStart w:colFirst="0" w:colLast="0" w:name="_ga5e05727n08" w:id="18"/>
      <w:bookmarkEnd w:id="18"/>
      <w:r w:rsidDel="00000000" w:rsidR="00000000" w:rsidRPr="00000000">
        <w:rPr>
          <w:rtl w:val="0"/>
        </w:rPr>
        <w:t xml:space="preserve">Question ID: SCI-G10-20260809-3F683B</w:t>
      </w:r>
    </w:p>
    <w:tbl>
      <w:tblPr>
        <w:tblStyle w:val="Table87"/>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7.25"/>
        <w:gridCol w:w="2617.25"/>
        <w:gridCol w:w="2617.25"/>
        <w:gridCol w:w="2617.25"/>
        <w:tblGridChange w:id="0">
          <w:tblGrid>
            <w:gridCol w:w="2617.25"/>
            <w:gridCol w:w="2617.25"/>
            <w:gridCol w:w="2617.25"/>
            <w:gridCol w:w="2617.25"/>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Subject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Class</w:t>
            </w:r>
          </w:p>
        </w:tc>
        <w:tc>
          <w:tcPr>
            <w:shd w:fill="d9d9d9" w:val="clear"/>
            <w:tcMar>
              <w:top w:w="100.0" w:type="dxa"/>
              <w:left w:w="100.0" w:type="dxa"/>
              <w:bottom w:w="100.0" w:type="dxa"/>
              <w:right w:w="100.0" w:type="dxa"/>
            </w:tcMar>
            <w:vAlign w:val="top"/>
          </w:tcPr>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DoK Level</w:t>
            </w:r>
          </w:p>
        </w:tc>
        <w:tc>
          <w:tcPr>
            <w:shd w:fill="d9d9d9" w:val="clear"/>
            <w:tcMar>
              <w:top w:w="100.0" w:type="dxa"/>
              <w:left w:w="100.0" w:type="dxa"/>
              <w:bottom w:w="100.0" w:type="dxa"/>
              <w:right w:w="100.0" w:type="dxa"/>
            </w:tcMar>
            <w:vAlign w:val="top"/>
          </w:tcPr>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Marks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Science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w:t>
            </w:r>
          </w:p>
        </w:tc>
      </w:tr>
    </w:tbl>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88"/>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9"/>
        <w:tblGridChange w:id="0">
          <w:tblGrid>
            <w:gridCol w:w="10469"/>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Curricular Goal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C-1.3</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Competency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C-1.3: Describes and represents chemical interactions and changes using symbols and chemical equations.</w:t>
            </w:r>
          </w:p>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 Esterification and saponification</w:t>
            </w:r>
          </w:p>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 Reactions of ethanol and ethanoic acid</w:t>
            </w:r>
          </w:p>
        </w:tc>
      </w:tr>
    </w:tbl>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89"/>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Ethanoic acid reacts with ethanol in the presence of a few drops of concentrated sulphuric acid to produce a sweet-smelling substance.</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Image Required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No</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Prompt</w:t>
            </w:r>
          </w:p>
        </w:tc>
        <w:tc>
          <w:tcPr>
            <w:shd w:fill="auto" w:val="clear"/>
            <w:tcMar>
              <w:top w:w="100.0" w:type="dxa"/>
              <w:left w:w="100.0" w:type="dxa"/>
              <w:bottom w:w="100.0" w:type="dxa"/>
              <w:right w:w="100.0" w:type="dxa"/>
            </w:tcMar>
            <w:vAlign w:val="top"/>
          </w:tcPr>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What is the name of this reaction and the product formed?</w:t>
            </w:r>
          </w:p>
        </w:tc>
      </w:tr>
    </w:tbl>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90"/>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Correct Answer</w:t>
            </w:r>
          </w:p>
        </w:tc>
        <w:tc>
          <w:tcPr>
            <w:tcMar>
              <w:top w:w="100.0" w:type="dxa"/>
              <w:left w:w="100.0" w:type="dxa"/>
              <w:bottom w:w="100.0" w:type="dxa"/>
              <w:right w:w="100.0" w:type="dxa"/>
            </w:tcMar>
            <w:vAlign w:val="top"/>
          </w:tcPr>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Esterification; Ester</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 Mark: Direct recall of the name of the reaction between an acid and an alcohol (esterification) and the nature of the product (ester). Single-step factual retrieval.</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1</w:t>
            </w:r>
          </w:p>
        </w:tc>
        <w:tc>
          <w:tcPr>
            <w:shd w:fill="auto" w:val="clear"/>
            <w:tcMar>
              <w:top w:w="100.0" w:type="dxa"/>
              <w:left w:w="100.0" w:type="dxa"/>
              <w:bottom w:w="100.0" w:type="dxa"/>
              <w:right w:w="100.0" w:type="dxa"/>
            </w:tcMar>
            <w:vAlign w:val="top"/>
          </w:tcPr>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Saponification; Soap</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Fonts w:ascii="Arial Unicode MS" w:cs="Arial Unicode MS" w:eastAsia="Arial Unicode MS" w:hAnsi="Arial Unicode MS"/>
                <w:rtl w:val="0"/>
              </w:rPr>
              <w:t xml:space="preserve">Students may confuse esterification with saponification because both involve ethanoic acid or its ester. Saponification is the reverse reaction (ester + NaOH → alcohol + salt) and students often mix up the two related reactions.</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2</w:t>
            </w:r>
          </w:p>
        </w:tc>
        <w:tc>
          <w:tcPr>
            <w:shd w:fill="auto" w:val="clear"/>
            <w:tcMar>
              <w:top w:w="100.0" w:type="dxa"/>
              <w:left w:w="100.0" w:type="dxa"/>
              <w:bottom w:w="100.0" w:type="dxa"/>
              <w:right w:w="100.0" w:type="dxa"/>
            </w:tcMar>
            <w:vAlign w:val="top"/>
          </w:tcPr>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Addition reaction; Saturated compound</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Students who recall that addition reactions involve combining molecules may generalise this to acid–alcohol reactions, not recognising that addition reactions specifically involve unsaturated compounds adding H₂, Cl₂, etc.</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3</w:t>
            </w:r>
          </w:p>
        </w:tc>
        <w:tc>
          <w:tcPr>
            <w:shd w:fill="auto" w:val="clear"/>
            <w:tcMar>
              <w:top w:w="100.0" w:type="dxa"/>
              <w:left w:w="100.0" w:type="dxa"/>
              <w:bottom w:w="100.0" w:type="dxa"/>
              <w:right w:w="100.0" w:type="dxa"/>
            </w:tcMar>
            <w:vAlign w:val="top"/>
          </w:tcPr>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Substitution reaction; Halogenated compound</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Students may confuse the chapter's reaction types and recall 'substitution' without linking it specifically to halogens replacing H atoms in saturated hydrocarbons, misapplying the term to the acid–alcohol reaction.</w:t>
            </w:r>
          </w:p>
        </w:tc>
      </w:tr>
    </w:tbl>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80" w:line="276" w:lineRule="auto"/>
        <w:ind w:left="0" w:right="0" w:firstLine="0"/>
        <w:jc w:val="left"/>
        <w:rPr>
          <w:b w:val="1"/>
          <w:bCs w:val="1"/>
        </w:rPr>
      </w:pPr>
      <w:r w:rsidDel="00000000" w:rsidR="00000000" w:rsidRPr="00000000">
        <w:rPr>
          <w:b w:val="1"/>
          <w:bCs w:val="1"/>
          <w:rtl w:val="0"/>
        </w:rPr>
        <w:t xml:space="preserve">Decision — mark x in the box next to your choice:</w:t>
      </w:r>
    </w:p>
    <w:tbl>
      <w:tblPr>
        <w:tblStyle w:val="Table91"/>
        <w:tblW w:w="81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900"/>
        <w:gridCol w:w="1800"/>
        <w:gridCol w:w="900"/>
        <w:gridCol w:w="1800"/>
        <w:gridCol w:w="900"/>
        <w:tblGridChange w:id="0">
          <w:tblGrid>
            <w:gridCol w:w="1800"/>
            <w:gridCol w:w="900"/>
            <w:gridCol w:w="1800"/>
            <w:gridCol w:w="900"/>
            <w:gridCol w:w="1800"/>
            <w:gridCol w:w="9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Accepted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Modified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Rejected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r>
    </w:tbl>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83">
      <w:pPr>
        <w:pStyle w:val="Heading2"/>
        <w:rPr/>
      </w:pPr>
      <w:bookmarkStart w:colFirst="0" w:colLast="0" w:name="_5epkqcf97ow9" w:id="19"/>
      <w:bookmarkEnd w:id="19"/>
      <w:r w:rsidDel="00000000" w:rsidR="00000000" w:rsidRPr="00000000">
        <w:rPr>
          <w:rtl w:val="0"/>
        </w:rPr>
        <w:t xml:space="preserve">Question ID: SCI-G10-20260809-5898C6</w:t>
      </w:r>
    </w:p>
    <w:tbl>
      <w:tblPr>
        <w:tblStyle w:val="Table92"/>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7.25"/>
        <w:gridCol w:w="2617.25"/>
        <w:gridCol w:w="2617.25"/>
        <w:gridCol w:w="2617.25"/>
        <w:tblGridChange w:id="0">
          <w:tblGrid>
            <w:gridCol w:w="2617.25"/>
            <w:gridCol w:w="2617.25"/>
            <w:gridCol w:w="2617.25"/>
            <w:gridCol w:w="2617.25"/>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Subject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Class</w:t>
            </w:r>
          </w:p>
        </w:tc>
        <w:tc>
          <w:tcPr>
            <w:shd w:fill="d9d9d9" w:val="clear"/>
            <w:tcMar>
              <w:top w:w="100.0" w:type="dxa"/>
              <w:left w:w="100.0" w:type="dxa"/>
              <w:bottom w:w="100.0" w:type="dxa"/>
              <w:right w:w="100.0" w:type="dxa"/>
            </w:tcMar>
            <w:vAlign w:val="top"/>
          </w:tcPr>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DoK Level</w:t>
            </w:r>
          </w:p>
        </w:tc>
        <w:tc>
          <w:tcPr>
            <w:shd w:fill="d9d9d9" w:val="clear"/>
            <w:tcMar>
              <w:top w:w="100.0" w:type="dxa"/>
              <w:left w:w="100.0" w:type="dxa"/>
              <w:bottom w:w="100.0" w:type="dxa"/>
              <w:right w:w="100.0" w:type="dxa"/>
            </w:tcMar>
            <w:vAlign w:val="top"/>
          </w:tcPr>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Marks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Science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w:t>
            </w:r>
          </w:p>
        </w:tc>
      </w:tr>
    </w:tbl>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93"/>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9"/>
        <w:tblGridChange w:id="0">
          <w:tblGrid>
            <w:gridCol w:w="10469"/>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Curricular Goal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C-3.2 </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Competency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Analyses similarities and differences in life processes — Nutrition in plants (regulation of gaseous exchange).</w:t>
            </w:r>
          </w:p>
        </w:tc>
      </w:tr>
    </w:tbl>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94"/>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Image Required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No</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Prompt</w:t>
            </w:r>
          </w:p>
        </w:tc>
        <w:tc>
          <w:tcPr>
            <w:shd w:fill="auto" w:val="clear"/>
            <w:tcMar>
              <w:top w:w="100.0" w:type="dxa"/>
              <w:left w:w="100.0" w:type="dxa"/>
              <w:bottom w:w="100.0" w:type="dxa"/>
              <w:right w:w="100.0" w:type="dxa"/>
            </w:tcMar>
            <w:vAlign w:val="top"/>
          </w:tcPr>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Which structure in a leaf regulates the opening and closing of the stomatal pore to control gaseous exchange and water loss?</w:t>
            </w:r>
          </w:p>
        </w:tc>
      </w:tr>
    </w:tbl>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95"/>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Correct Answer</w:t>
            </w:r>
          </w:p>
        </w:tc>
        <w:tc>
          <w:tcPr>
            <w:tcMar>
              <w:top w:w="100.0" w:type="dxa"/>
              <w:left w:w="100.0" w:type="dxa"/>
              <w:bottom w:w="100.0" w:type="dxa"/>
              <w:right w:w="100.0" w:type="dxa"/>
            </w:tcMar>
            <w:vAlign w:val="top"/>
          </w:tcPr>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Guard cells</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 Mark — Direct knowledge-based recall of a specific leaf structure and its stated function, as given in the NCERT chapter. Consistent with the Reliability principle of the HARVER framework, the mark allocation matches the low cognitive demand (simple recall, no application or analysis).</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1</w:t>
            </w:r>
          </w:p>
        </w:tc>
        <w:tc>
          <w:tcPr>
            <w:shd w:fill="auto" w:val="clear"/>
            <w:tcMar>
              <w:top w:w="100.0" w:type="dxa"/>
              <w:left w:w="100.0" w:type="dxa"/>
              <w:bottom w:w="100.0" w:type="dxa"/>
              <w:right w:w="100.0" w:type="dxa"/>
            </w:tcMar>
            <w:vAlign w:val="top"/>
          </w:tcPr>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Xylem vessels</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Students may confuse xylem (the water-conducting tissue) with the structure controlling the stomatal pore, since both are linked to water movement in the leaf. The misconception is that the tissue supplying water also directly opens/closes the pore, rather than the guard cells doing so in response to water entering them.</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2</w:t>
            </w:r>
          </w:p>
        </w:tc>
        <w:tc>
          <w:tcPr>
            <w:shd w:fill="auto" w:val="clear"/>
            <w:tcMar>
              <w:top w:w="100.0" w:type="dxa"/>
              <w:left w:w="100.0" w:type="dxa"/>
              <w:bottom w:w="100.0" w:type="dxa"/>
              <w:right w:w="100.0" w:type="dxa"/>
            </w:tcMar>
            <w:vAlign w:val="top"/>
          </w:tcPr>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Mesophyll cells</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Mesophyll cells are the prominent photosynthetic cells seen in a leaf cross-section diagram. Students who recall 'leaf cells carry out important functions' without distinguishing cell types may default to the most familiar named cell type instead of the specific guard cells.</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3</w:t>
            </w:r>
          </w:p>
        </w:tc>
        <w:tc>
          <w:tcPr>
            <w:shd w:fill="auto" w:val="clear"/>
            <w:tcMar>
              <w:top w:w="100.0" w:type="dxa"/>
              <w:left w:w="100.0" w:type="dxa"/>
              <w:bottom w:w="100.0" w:type="dxa"/>
              <w:right w:w="100.0" w:type="dxa"/>
            </w:tcMar>
            <w:vAlign w:val="top"/>
          </w:tcPr>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Companion cells</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Companion cells are associated with phloem (sieve tubes) for translocation, introduced later in the transportation section. Students who superficially link 'cells that help another structure function' may transfer this phloem-related term to the unrelated context of stomatal regulation.</w:t>
            </w:r>
          </w:p>
        </w:tc>
      </w:tr>
    </w:tbl>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80" w:line="276" w:lineRule="auto"/>
        <w:ind w:left="0" w:right="0" w:firstLine="0"/>
        <w:jc w:val="left"/>
        <w:rPr>
          <w:b w:val="1"/>
          <w:bCs w:val="1"/>
        </w:rPr>
      </w:pPr>
      <w:r w:rsidDel="00000000" w:rsidR="00000000" w:rsidRPr="00000000">
        <w:rPr>
          <w:b w:val="1"/>
          <w:bCs w:val="1"/>
          <w:rtl w:val="0"/>
        </w:rPr>
        <w:t xml:space="preserve">Decision — mark x in the box next to your choice:</w:t>
      </w:r>
    </w:p>
    <w:tbl>
      <w:tblPr>
        <w:tblStyle w:val="Table96"/>
        <w:tblW w:w="81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900"/>
        <w:gridCol w:w="1800"/>
        <w:gridCol w:w="900"/>
        <w:gridCol w:w="1800"/>
        <w:gridCol w:w="900"/>
        <w:tblGridChange w:id="0">
          <w:tblGrid>
            <w:gridCol w:w="1800"/>
            <w:gridCol w:w="900"/>
            <w:gridCol w:w="1800"/>
            <w:gridCol w:w="900"/>
            <w:gridCol w:w="1800"/>
            <w:gridCol w:w="9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Accepted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Modified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Rejected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r>
    </w:tbl>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B4">
      <w:pPr>
        <w:pStyle w:val="Heading2"/>
        <w:rPr/>
      </w:pPr>
      <w:bookmarkStart w:colFirst="0" w:colLast="0" w:name="_j0bogcmlnwnr" w:id="20"/>
      <w:bookmarkEnd w:id="20"/>
      <w:r w:rsidDel="00000000" w:rsidR="00000000" w:rsidRPr="00000000">
        <w:rPr>
          <w:rtl w:val="0"/>
        </w:rPr>
        <w:t xml:space="preserve">Question ID: SCI-G10-20260809-852D81</w:t>
      </w:r>
    </w:p>
    <w:tbl>
      <w:tblPr>
        <w:tblStyle w:val="Table97"/>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7.25"/>
        <w:gridCol w:w="2617.25"/>
        <w:gridCol w:w="2617.25"/>
        <w:gridCol w:w="2617.25"/>
        <w:tblGridChange w:id="0">
          <w:tblGrid>
            <w:gridCol w:w="2617.25"/>
            <w:gridCol w:w="2617.25"/>
            <w:gridCol w:w="2617.25"/>
            <w:gridCol w:w="2617.25"/>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Subject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Class</w:t>
            </w:r>
          </w:p>
        </w:tc>
        <w:tc>
          <w:tcPr>
            <w:shd w:fill="d9d9d9" w:val="clear"/>
            <w:tcMar>
              <w:top w:w="100.0" w:type="dxa"/>
              <w:left w:w="100.0" w:type="dxa"/>
              <w:bottom w:w="100.0" w:type="dxa"/>
              <w:right w:w="100.0" w:type="dxa"/>
            </w:tcMar>
            <w:vAlign w:val="top"/>
          </w:tcPr>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DoK Level</w:t>
            </w:r>
          </w:p>
        </w:tc>
        <w:tc>
          <w:tcPr>
            <w:shd w:fill="d9d9d9" w:val="clear"/>
            <w:tcMar>
              <w:top w:w="100.0" w:type="dxa"/>
              <w:left w:w="100.0" w:type="dxa"/>
              <w:bottom w:w="100.0" w:type="dxa"/>
              <w:right w:w="100.0" w:type="dxa"/>
            </w:tcMar>
            <w:vAlign w:val="top"/>
          </w:tcPr>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Marks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Science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w:t>
            </w:r>
          </w:p>
        </w:tc>
      </w:tr>
    </w:tbl>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98"/>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9"/>
        <w:tblGridChange w:id="0">
          <w:tblGrid>
            <w:gridCol w:w="10469"/>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Curricular Goal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C-3.1</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Competency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C-3.1: Identifies the structural components of the nervous system; names the specialised junction through which a nerve impulse is transmitted from a neuron to a muscle fibre. (Neurons and nervous tissue; structure and function of nerve cells)</w:t>
            </w:r>
          </w:p>
        </w:tc>
      </w:tr>
    </w:tbl>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99"/>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At the end of a motor neuron's axon, an electrical impulse triggers the release of certain chemicals. These chemicals cross a gap and stimulate a muscle fibre, causing it to contract.</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Image Required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No</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Prompt</w:t>
            </w:r>
          </w:p>
        </w:tc>
        <w:tc>
          <w:tcPr>
            <w:shd w:fill="auto" w:val="clear"/>
            <w:tcMar>
              <w:top w:w="100.0" w:type="dxa"/>
              <w:left w:w="100.0" w:type="dxa"/>
              <w:bottom w:w="100.0" w:type="dxa"/>
              <w:right w:w="100.0" w:type="dxa"/>
            </w:tcMar>
            <w:vAlign w:val="top"/>
          </w:tcPr>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What is this specific neuron–muscle junction called, as shown in the structure of a neuron and its connection to muscle?</w:t>
            </w:r>
          </w:p>
        </w:tc>
      </w:tr>
    </w:tbl>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00"/>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Correct Answer</w:t>
            </w:r>
          </w:p>
        </w:tc>
        <w:tc>
          <w:tcPr>
            <w:tcMar>
              <w:top w:w="100.0" w:type="dxa"/>
              <w:left w:w="100.0" w:type="dxa"/>
              <w:bottom w:w="100.0" w:type="dxa"/>
              <w:right w:w="100.0" w:type="dxa"/>
            </w:tcMar>
            <w:vAlign w:val="top"/>
          </w:tcPr>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Neuromuscular junction</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Tests direct recall of a specific structural term (neuromuscular junction) explicitly labelled in the chapter's diagram of nerve cell structure. No multi-step reasoning, analysis, or application is required — only retrieval of a named fact from memory, consistent with a 1-mark knowledge-based question.</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1</w:t>
            </w:r>
          </w:p>
        </w:tc>
        <w:tc>
          <w:tcPr>
            <w:shd w:fill="auto" w:val="clear"/>
            <w:tcMar>
              <w:top w:w="100.0" w:type="dxa"/>
              <w:left w:w="100.0" w:type="dxa"/>
              <w:bottom w:w="100.0" w:type="dxa"/>
              <w:right w:w="100.0" w:type="dxa"/>
            </w:tcMar>
            <w:vAlign w:val="top"/>
          </w:tcPr>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Synapse</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Terminology over-generalisation: The chapter describes the neuron–muscle junction as 'a similar synapse', so students may recall the general term 'synapse' (used for neuron-to-neuron junctions) instead of the specific diagram label 'neuromuscular junction' used for neuron-to-muscle junctions, confusing a general concept with its specific named instance.</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2</w:t>
            </w:r>
          </w:p>
        </w:tc>
        <w:tc>
          <w:tcPr>
            <w:shd w:fill="auto" w:val="clear"/>
            <w:tcMar>
              <w:top w:w="100.0" w:type="dxa"/>
              <w:left w:w="100.0" w:type="dxa"/>
              <w:bottom w:w="100.0" w:type="dxa"/>
              <w:right w:w="100.0" w:type="dxa"/>
            </w:tcMar>
            <w:vAlign w:val="top"/>
          </w:tcPr>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Axon terminal</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Location-vs-structure confusion: Since the chemical release is described as happening 'at the end of the axon', students may select the structural location itself (axon terminal) rather than recalling the name of the actual junction formed between the neuron and the muscle fibre.</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3</w:t>
            </w:r>
          </w:p>
        </w:tc>
        <w:tc>
          <w:tcPr>
            <w:shd w:fill="auto" w:val="clear"/>
            <w:tcMar>
              <w:top w:w="100.0" w:type="dxa"/>
              <w:left w:w="100.0" w:type="dxa"/>
              <w:bottom w:w="100.0" w:type="dxa"/>
              <w:right w:w="100.0" w:type="dxa"/>
            </w:tcMar>
            <w:vAlign w:val="top"/>
          </w:tcPr>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Dendritic junction</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Source–destination reversal: Students may confuse the dendrite (the part of a neuron that receives an impulse) with the structure that delivers an impulse to a muscle, incorrectly assuming any 'junction' name must involve the receiving end of a neuron rather than its output end.</w:t>
            </w:r>
          </w:p>
        </w:tc>
      </w:tr>
    </w:tbl>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80" w:line="276" w:lineRule="auto"/>
        <w:ind w:left="0" w:right="0" w:firstLine="0"/>
        <w:jc w:val="left"/>
        <w:rPr>
          <w:b w:val="1"/>
          <w:bCs w:val="1"/>
        </w:rPr>
      </w:pPr>
      <w:r w:rsidDel="00000000" w:rsidR="00000000" w:rsidRPr="00000000">
        <w:rPr>
          <w:b w:val="1"/>
          <w:bCs w:val="1"/>
          <w:rtl w:val="0"/>
        </w:rPr>
        <w:t xml:space="preserve">Decision — mark x in the box next to your choice:</w:t>
      </w:r>
    </w:p>
    <w:tbl>
      <w:tblPr>
        <w:tblStyle w:val="Table101"/>
        <w:tblW w:w="81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900"/>
        <w:gridCol w:w="1800"/>
        <w:gridCol w:w="900"/>
        <w:gridCol w:w="1800"/>
        <w:gridCol w:w="900"/>
        <w:tblGridChange w:id="0">
          <w:tblGrid>
            <w:gridCol w:w="1800"/>
            <w:gridCol w:w="900"/>
            <w:gridCol w:w="1800"/>
            <w:gridCol w:w="900"/>
            <w:gridCol w:w="1800"/>
            <w:gridCol w:w="9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Accepted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Modified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Rejected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x</w:t>
            </w:r>
          </w:p>
        </w:tc>
      </w:tr>
    </w:tbl>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Prompt is wrong</w:t>
      </w:r>
    </w:p>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E5">
      <w:pPr>
        <w:pStyle w:val="Heading2"/>
        <w:rPr/>
      </w:pPr>
      <w:bookmarkStart w:colFirst="0" w:colLast="0" w:name="_t1qm1e7c6o7w" w:id="21"/>
      <w:bookmarkEnd w:id="21"/>
      <w:r w:rsidDel="00000000" w:rsidR="00000000" w:rsidRPr="00000000">
        <w:rPr>
          <w:rtl w:val="0"/>
        </w:rPr>
        <w:t xml:space="preserve">Question ID: SCI-G10-20260809-2ECB80</w:t>
      </w:r>
    </w:p>
    <w:tbl>
      <w:tblPr>
        <w:tblStyle w:val="Table102"/>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7.25"/>
        <w:gridCol w:w="2617.25"/>
        <w:gridCol w:w="2617.25"/>
        <w:gridCol w:w="2617.25"/>
        <w:tblGridChange w:id="0">
          <w:tblGrid>
            <w:gridCol w:w="2617.25"/>
            <w:gridCol w:w="2617.25"/>
            <w:gridCol w:w="2617.25"/>
            <w:gridCol w:w="2617.25"/>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Subject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Class</w:t>
            </w:r>
          </w:p>
        </w:tc>
        <w:tc>
          <w:tcPr>
            <w:shd w:fill="d9d9d9" w:val="clear"/>
            <w:tcMar>
              <w:top w:w="100.0" w:type="dxa"/>
              <w:left w:w="100.0" w:type="dxa"/>
              <w:bottom w:w="100.0" w:type="dxa"/>
              <w:right w:w="100.0" w:type="dxa"/>
            </w:tcMar>
            <w:vAlign w:val="top"/>
          </w:tcPr>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DoK Level</w:t>
            </w:r>
          </w:p>
        </w:tc>
        <w:tc>
          <w:tcPr>
            <w:shd w:fill="d9d9d9" w:val="clear"/>
            <w:tcMar>
              <w:top w:w="100.0" w:type="dxa"/>
              <w:left w:w="100.0" w:type="dxa"/>
              <w:bottom w:w="100.0" w:type="dxa"/>
              <w:right w:w="100.0" w:type="dxa"/>
            </w:tcMar>
            <w:vAlign w:val="top"/>
          </w:tcPr>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Marks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Science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3</w:t>
            </w:r>
          </w:p>
        </w:tc>
      </w:tr>
    </w:tbl>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03"/>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9"/>
        <w:tblGridChange w:id="0">
          <w:tblGrid>
            <w:gridCol w:w="10469"/>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Curricular Goal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C-7.2</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Competency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C-7.2: Designs and implements scientific inquiry; C-5.1: Analyses impact of science on human life.</w:t>
            </w:r>
          </w:p>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 Esterification activity</w:t>
            </w:r>
          </w:p>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 Saponification</w:t>
            </w:r>
          </w:p>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 Industrial and daily-life applications of carbon compounds</w:t>
            </w:r>
          </w:p>
        </w:tc>
      </w:tr>
    </w:tbl>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04"/>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A chemistry teacher demonstrates the esterification reaction using ethanol and ethanoic acid with concentrated H₂SO₄ as catalyst. The sweet-smelling product is poured into a beaker of water. When NaOH is then added to this product and warmed, the sweet smell disappears and a soapy substance is obtained.</w:t>
            </w:r>
          </w:p>
          <w:p w:rsidR="00000000" w:rsidDel="00000000" w:rsidP="00000000" w:rsidRDefault="00000000" w:rsidRPr="00000000" w14:paraId="00000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A student makes the following three observations and inferences:</w:t>
            </w:r>
          </w:p>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05"/>
              <w:tblW w:w="77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70"/>
              <w:gridCol w:w="3645"/>
              <w:gridCol w:w="3525"/>
              <w:tblGridChange w:id="0">
                <w:tblGrid>
                  <w:gridCol w:w="570"/>
                  <w:gridCol w:w="3645"/>
                  <w:gridCol w:w="35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E">
                  <w:pPr>
                    <w:widowControl w:val="0"/>
                    <w:rPr/>
                  </w:pPr>
                  <w:r w:rsidDel="00000000" w:rsidR="00000000" w:rsidRPr="00000000">
                    <w:rPr>
                      <w:rtl w:val="0"/>
                    </w:rPr>
                    <w:t xml:space="preserve">Observation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3FF">
                  <w:pPr>
                    <w:widowControl w:val="0"/>
                    <w:rPr/>
                  </w:pPr>
                  <w:r w:rsidDel="00000000" w:rsidR="00000000" w:rsidRPr="00000000">
                    <w:rPr>
                      <w:rtl w:val="0"/>
                    </w:rPr>
                    <w:t xml:space="preserve">Inference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401">
                  <w:pPr>
                    <w:widowControl w:val="0"/>
                    <w:rPr/>
                  </w:pPr>
                  <w:r w:rsidDel="00000000" w:rsidR="00000000" w:rsidRPr="00000000">
                    <w:rPr>
                      <w:rtl w:val="0"/>
                    </w:rPr>
                    <w:t xml:space="preserve">The sweet-smelling product is an ester formed by the –COOH group of ethanoic acid reacting with the –OH group of ethanol.</w:t>
                  </w:r>
                </w:p>
              </w:tc>
              <w:tc>
                <w:tcPr>
                  <w:shd w:fill="auto" w:val="clear"/>
                  <w:tcMar>
                    <w:top w:w="100.0" w:type="dxa"/>
                    <w:left w:w="100.0" w:type="dxa"/>
                    <w:bottom w:w="100.0" w:type="dxa"/>
                    <w:right w:w="100.0" w:type="dxa"/>
                  </w:tcMar>
                  <w:vAlign w:val="top"/>
                </w:tcPr>
                <w:p w:rsidR="00000000" w:rsidDel="00000000" w:rsidP="00000000" w:rsidRDefault="00000000" w:rsidRPr="00000000" w14:paraId="00000402">
                  <w:pPr>
                    <w:widowControl w:val="0"/>
                    <w:rPr/>
                  </w:pPr>
                  <w:r w:rsidDel="00000000" w:rsidR="00000000" w:rsidRPr="00000000">
                    <w:rPr>
                      <w:rtl w:val="0"/>
                    </w:rPr>
                    <w:t xml:space="preserve">Concentrated H₂SO₄ is the product of the esterification reaction.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404">
                  <w:pPr>
                    <w:widowControl w:val="0"/>
                    <w:rPr/>
                  </w:pPr>
                  <w:r w:rsidDel="00000000" w:rsidR="00000000" w:rsidRPr="00000000">
                    <w:rPr>
                      <w:rtl w:val="0"/>
                    </w:rPr>
                    <w:t xml:space="preserve">Adding NaOH to the ester and warming converts it back to ethanol and a sodium salt.</w:t>
                  </w:r>
                </w:p>
              </w:tc>
              <w:tc>
                <w:tcPr>
                  <w:shd w:fill="auto" w:val="clear"/>
                  <w:tcMar>
                    <w:top w:w="100.0" w:type="dxa"/>
                    <w:left w:w="100.0" w:type="dxa"/>
                    <w:bottom w:w="100.0" w:type="dxa"/>
                    <w:right w:w="100.0" w:type="dxa"/>
                  </w:tcMar>
                  <w:vAlign w:val="top"/>
                </w:tcPr>
                <w:p w:rsidR="00000000" w:rsidDel="00000000" w:rsidP="00000000" w:rsidRDefault="00000000" w:rsidRPr="00000000" w14:paraId="00000405">
                  <w:pPr>
                    <w:widowControl w:val="0"/>
                    <w:rPr/>
                  </w:pPr>
                  <w:r w:rsidDel="00000000" w:rsidR="00000000" w:rsidRPr="00000000">
                    <w:rPr>
                      <w:rtl w:val="0"/>
                    </w:rPr>
                    <w:t xml:space="preserve">This reverse reaction is saponification and is the basis of soap manufacture.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407">
                  <w:pPr>
                    <w:widowControl w:val="0"/>
                    <w:rPr/>
                  </w:pPr>
                  <w:r w:rsidDel="00000000" w:rsidR="00000000" w:rsidRPr="00000000">
                    <w:rPr>
                      <w:rtl w:val="0"/>
                    </w:rPr>
                    <w:t xml:space="preserve">The ester dissolves in water when poured into it.</w:t>
                  </w:r>
                </w:p>
              </w:tc>
              <w:tc>
                <w:tcPr>
                  <w:shd w:fill="auto" w:val="clear"/>
                  <w:tcMar>
                    <w:top w:w="100.0" w:type="dxa"/>
                    <w:left w:w="100.0" w:type="dxa"/>
                    <w:bottom w:w="100.0" w:type="dxa"/>
                    <w:right w:w="100.0" w:type="dxa"/>
                  </w:tcMar>
                  <w:vAlign w:val="top"/>
                </w:tcPr>
                <w:p w:rsidR="00000000" w:rsidDel="00000000" w:rsidP="00000000" w:rsidRDefault="00000000" w:rsidRPr="00000000" w14:paraId="00000408">
                  <w:pPr>
                    <w:widowControl w:val="0"/>
                    <w:rPr/>
                  </w:pPr>
                  <w:r w:rsidDel="00000000" w:rsidR="00000000" w:rsidRPr="00000000">
                    <w:rPr>
                      <w:rtl w:val="0"/>
                    </w:rPr>
                    <w:t xml:space="preserve">All esters are completely soluble in water and can be used as cleaning agents like soaps.</w:t>
                  </w:r>
                </w:p>
              </w:tc>
            </w:tr>
          </w:tbl>
          <w:p w:rsidR="00000000" w:rsidDel="00000000" w:rsidP="00000000" w:rsidRDefault="00000000" w:rsidRPr="00000000" w14:paraId="00000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Image Required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No</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Prompt</w:t>
            </w:r>
          </w:p>
        </w:tc>
        <w:tc>
          <w:tcPr>
            <w:shd w:fill="auto" w:val="clear"/>
            <w:tcMar>
              <w:top w:w="100.0" w:type="dxa"/>
              <w:left w:w="100.0" w:type="dxa"/>
              <w:bottom w:w="100.0" w:type="dxa"/>
              <w:right w:w="100.0" w:type="dxa"/>
            </w:tcMar>
            <w:vAlign w:val="top"/>
          </w:tcPr>
          <w:p w:rsidR="00000000" w:rsidDel="00000000" w:rsidP="00000000" w:rsidRDefault="00000000" w:rsidRPr="00000000" w14:paraId="00000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Which set of observations and inferences is ENTIRELY correct?</w:t>
            </w:r>
          </w:p>
        </w:tc>
      </w:tr>
    </w:tbl>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06"/>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Correct Answer</w:t>
            </w:r>
          </w:p>
        </w:tc>
        <w:tc>
          <w:tcPr>
            <w:tcMar>
              <w:top w:w="100.0" w:type="dxa"/>
              <w:left w:w="100.0" w:type="dxa"/>
              <w:bottom w:w="100.0" w:type="dxa"/>
              <w:right w:w="100.0" w:type="dxa"/>
            </w:tcMar>
            <w:vAlign w:val="top"/>
          </w:tcPr>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Observation 1 with a corrected Inference 1 (H₂SO₄ is a catalyst, not a product), and Observation 2 with Inference 2</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Fonts w:ascii="Arial Unicode MS" w:cs="Arial Unicode MS" w:eastAsia="Arial Unicode MS" w:hAnsi="Arial Unicode MS"/>
                <w:rtl w:val="0"/>
              </w:rPr>
              <w:t xml:space="preserve">3 Marks: Requires identifying a factual error in Inference 1 (catalyst ≠ product), validating Observation 2 and Inference 2, and critically assessing Inference 3 (not all esters are soap-like cleaning agents). Multi-step critical analysis of experimental observations and inferences.</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1</w:t>
            </w:r>
          </w:p>
        </w:tc>
        <w:tc>
          <w:tcPr>
            <w:shd w:fill="auto" w:val="clear"/>
            <w:tcMar>
              <w:top w:w="100.0" w:type="dxa"/>
              <w:left w:w="100.0" w:type="dxa"/>
              <w:bottom w:w="100.0" w:type="dxa"/>
              <w:right w:w="100.0" w:type="dxa"/>
            </w:tcMar>
            <w:vAlign w:val="top"/>
          </w:tcPr>
          <w:p w:rsidR="00000000" w:rsidDel="00000000" w:rsidP="00000000" w:rsidRDefault="00000000" w:rsidRPr="00000000" w14:paraId="00000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Observation 1 with Inference 1, and Observation 2 with Inference 2</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Student accepts the incorrect Inference 1 that H₂SO₄ is a product, not recognising that catalysts facilitate reactions without being consumed — reflecting a fundamental misunderstanding of the role of catalysts in esterification.</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2</w:t>
            </w:r>
          </w:p>
        </w:tc>
        <w:tc>
          <w:tcPr>
            <w:shd w:fill="auto" w:val="clear"/>
            <w:tcMar>
              <w:top w:w="100.0" w:type="dxa"/>
              <w:left w:w="100.0" w:type="dxa"/>
              <w:bottom w:w="100.0" w:type="dxa"/>
              <w:right w:w="100.0" w:type="dxa"/>
            </w:tcMar>
            <w:vAlign w:val="top"/>
          </w:tcPr>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All three observations and inferences are correct</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Student fails to identify both the catalyst error in Inference 1 AND the overgeneralisation in Inference 3 (that esters act as cleaning agents) — showing acceptance of plausible-sounding but incorrect inferences across the problem.</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3</w:t>
            </w:r>
          </w:p>
        </w:tc>
        <w:tc>
          <w:tcPr>
            <w:shd w:fill="auto" w:val="clear"/>
            <w:tcMar>
              <w:top w:w="100.0" w:type="dxa"/>
              <w:left w:w="100.0" w:type="dxa"/>
              <w:bottom w:w="100.0" w:type="dxa"/>
              <w:right w:w="100.0" w:type="dxa"/>
            </w:tcMar>
            <w:vAlign w:val="top"/>
          </w:tcPr>
          <w:p w:rsidR="00000000" w:rsidDel="00000000" w:rsidP="00000000" w:rsidRDefault="00000000" w:rsidRPr="00000000" w14:paraId="00000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Only Observation 2 and Inference 2 are correct; Observations 1 and 3 are factually wrong</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Student incorrectly rejects Observation 1 (which is factually correct — ester IS formed from –COOH and –OH groups) perhaps confusing ester formation mechanism, while correctly identifying some inference errors.</w:t>
            </w:r>
          </w:p>
        </w:tc>
      </w:tr>
    </w:tbl>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80" w:line="276" w:lineRule="auto"/>
        <w:ind w:left="0" w:right="0" w:firstLine="0"/>
        <w:jc w:val="left"/>
        <w:rPr>
          <w:b w:val="1"/>
          <w:bCs w:val="1"/>
        </w:rPr>
      </w:pPr>
      <w:r w:rsidDel="00000000" w:rsidR="00000000" w:rsidRPr="00000000">
        <w:rPr>
          <w:b w:val="1"/>
          <w:bCs w:val="1"/>
          <w:rtl w:val="0"/>
        </w:rPr>
        <w:t xml:space="preserve">Decision — mark x in the box next to your choice:</w:t>
      </w:r>
    </w:p>
    <w:tbl>
      <w:tblPr>
        <w:tblStyle w:val="Table107"/>
        <w:tblW w:w="81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900"/>
        <w:gridCol w:w="1800"/>
        <w:gridCol w:w="900"/>
        <w:gridCol w:w="1800"/>
        <w:gridCol w:w="900"/>
        <w:tblGridChange w:id="0">
          <w:tblGrid>
            <w:gridCol w:w="1800"/>
            <w:gridCol w:w="900"/>
            <w:gridCol w:w="1800"/>
            <w:gridCol w:w="900"/>
            <w:gridCol w:w="1800"/>
            <w:gridCol w:w="9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Accepted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Modified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Rejected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x</w:t>
            </w:r>
          </w:p>
        </w:tc>
      </w:tr>
    </w:tbl>
    <w:p w:rsidR="00000000" w:rsidDel="00000000" w:rsidP="00000000" w:rsidRDefault="00000000" w:rsidRPr="00000000" w14:paraId="00000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Correct answer is not right.</w:t>
      </w:r>
    </w:p>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p w:rsidR="00000000" w:rsidDel="00000000" w:rsidP="00000000" w:rsidRDefault="00000000" w:rsidRPr="00000000" w14:paraId="00000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2A">
      <w:pPr>
        <w:pStyle w:val="Heading2"/>
        <w:rPr/>
      </w:pPr>
      <w:bookmarkStart w:colFirst="0" w:colLast="0" w:name="_bk1tstj6qo5q" w:id="22"/>
      <w:bookmarkEnd w:id="22"/>
      <w:r w:rsidDel="00000000" w:rsidR="00000000" w:rsidRPr="00000000">
        <w:rPr>
          <w:rtl w:val="0"/>
        </w:rPr>
        <w:t xml:space="preserve">Question ID: SCI-G10-20260809-3D108F</w:t>
      </w:r>
    </w:p>
    <w:tbl>
      <w:tblPr>
        <w:tblStyle w:val="Table108"/>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7.25"/>
        <w:gridCol w:w="2617.25"/>
        <w:gridCol w:w="2617.25"/>
        <w:gridCol w:w="2617.25"/>
        <w:tblGridChange w:id="0">
          <w:tblGrid>
            <w:gridCol w:w="2617.25"/>
            <w:gridCol w:w="2617.25"/>
            <w:gridCol w:w="2617.25"/>
            <w:gridCol w:w="2617.25"/>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Subject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Class</w:t>
            </w:r>
          </w:p>
        </w:tc>
        <w:tc>
          <w:tcPr>
            <w:shd w:fill="d9d9d9" w:val="clear"/>
            <w:tcMar>
              <w:top w:w="100.0" w:type="dxa"/>
              <w:left w:w="100.0" w:type="dxa"/>
              <w:bottom w:w="100.0" w:type="dxa"/>
              <w:right w:w="100.0" w:type="dxa"/>
            </w:tcMar>
            <w:vAlign w:val="top"/>
          </w:tcPr>
          <w:p w:rsidR="00000000" w:rsidDel="00000000" w:rsidP="00000000" w:rsidRDefault="00000000" w:rsidRPr="00000000" w14:paraId="00000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DoK Level</w:t>
            </w:r>
          </w:p>
        </w:tc>
        <w:tc>
          <w:tcPr>
            <w:shd w:fill="d9d9d9" w:val="clear"/>
            <w:tcMar>
              <w:top w:w="100.0" w:type="dxa"/>
              <w:left w:w="100.0" w:type="dxa"/>
              <w:bottom w:w="100.0" w:type="dxa"/>
              <w:right w:w="100.0" w:type="dxa"/>
            </w:tcMar>
            <w:vAlign w:val="top"/>
          </w:tcPr>
          <w:p w:rsidR="00000000" w:rsidDel="00000000" w:rsidP="00000000" w:rsidRDefault="00000000" w:rsidRPr="00000000" w14:paraId="00000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Marks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Science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3</w:t>
            </w:r>
          </w:p>
        </w:tc>
      </w:tr>
    </w:tbl>
    <w:p w:rsidR="00000000" w:rsidDel="00000000" w:rsidP="00000000" w:rsidRDefault="00000000" w:rsidRPr="00000000" w14:paraId="00000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09"/>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9"/>
        <w:tblGridChange w:id="0">
          <w:tblGrid>
            <w:gridCol w:w="10469"/>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4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Curricular Goal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C-1.3 + C-7.2</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4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Competency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Describes chemical interactions using equations — chlor-alkali process, neutralisation, salt preparation; designs scientific inquiry.</w:t>
            </w:r>
          </w:p>
        </w:tc>
      </w:tr>
    </w:tbl>
    <w:p w:rsidR="00000000" w:rsidDel="00000000" w:rsidP="00000000" w:rsidRDefault="00000000" w:rsidRPr="00000000" w14:paraId="00000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10"/>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The chapter describes the chlor-alkali process:</w:t>
            </w:r>
          </w:p>
          <w:p w:rsidR="00000000" w:rsidDel="00000000" w:rsidP="00000000" w:rsidRDefault="00000000" w:rsidRPr="00000000" w14:paraId="00000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Fonts w:ascii="Arial Unicode MS" w:cs="Arial Unicode MS" w:eastAsia="Arial Unicode MS" w:hAnsi="Arial Unicode MS"/>
                <w:rtl w:val="0"/>
              </w:rPr>
              <w:t xml:space="preserve">2NaCl(aq) + 2H₂O(l) → 2NaOH(aq) + Cl₂(g) + H₂(g)</w:t>
            </w:r>
          </w:p>
          <w:p w:rsidR="00000000" w:rsidDel="00000000" w:rsidP="00000000" w:rsidRDefault="00000000" w:rsidRPr="00000000" w14:paraId="00000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Three products are formed. A student is asked to design a single experiment to confirm the presence of ALL THREE products without using any instrument that measures electrical properties.</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Image Required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No</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Prompt</w:t>
            </w:r>
          </w:p>
        </w:tc>
        <w:tc>
          <w:tcPr>
            <w:shd w:fill="auto" w:val="clear"/>
            <w:tcMar>
              <w:top w:w="100.0" w:type="dxa"/>
              <w:left w:w="100.0" w:type="dxa"/>
              <w:bottom w:w="100.0" w:type="dxa"/>
              <w:right w:w="100.0" w:type="dxa"/>
            </w:tcMar>
            <w:vAlign w:val="top"/>
          </w:tcPr>
          <w:p w:rsidR="00000000" w:rsidDel="00000000" w:rsidP="00000000" w:rsidRDefault="00000000" w:rsidRPr="00000000" w14:paraId="00000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Which of the following experimental designs is the MOST scientifically complete and valid for confirming all three products?</w:t>
            </w:r>
          </w:p>
        </w:tc>
      </w:tr>
    </w:tbl>
    <w:p w:rsidR="00000000" w:rsidDel="00000000" w:rsidP="00000000" w:rsidRDefault="00000000" w:rsidRPr="00000000" w14:paraId="00000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11"/>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Correct Answer</w:t>
            </w:r>
          </w:p>
        </w:tc>
        <w:tc>
          <w:tcPr>
            <w:tcMar>
              <w:top w:w="100.0" w:type="dxa"/>
              <w:left w:w="100.0" w:type="dxa"/>
              <w:bottom w:w="100.0" w:type="dxa"/>
              <w:right w:w="100.0" w:type="dxa"/>
            </w:tcMar>
            <w:vAlign w:val="top"/>
          </w:tcPr>
          <w:p w:rsidR="00000000" w:rsidDel="00000000" w:rsidP="00000000" w:rsidRDefault="00000000" w:rsidRPr="00000000" w14:paraId="00000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Test the solution for NaOH using red litmus paper; collect gas at one electrode and test with a burning splint (pop sound confirms H₂); collect gas at the other electrode and pass through starch-iodide paper (turns blue confirms Cl₂)</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3 marks: Requires designing a complete multi-step experimental plan to confirm three different chemical products using appropriate chemical tests — involves strategic scientific thinking, selecting correct tests for each product, and integrating prior knowledge.</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1</w:t>
            </w:r>
          </w:p>
        </w:tc>
        <w:tc>
          <w:tcPr>
            <w:shd w:fill="auto" w:val="clear"/>
            <w:tcMar>
              <w:top w:w="100.0" w:type="dxa"/>
              <w:left w:w="100.0" w:type="dxa"/>
              <w:bottom w:w="100.0" w:type="dxa"/>
              <w:right w:w="100.0" w:type="dxa"/>
            </w:tcMar>
            <w:vAlign w:val="top"/>
          </w:tcPr>
          <w:p w:rsidR="00000000" w:rsidDel="00000000" w:rsidP="00000000" w:rsidRDefault="00000000" w:rsidRPr="00000000" w14:paraId="00000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Test the solution with phenolphthalein only; the pink colour confirms all three products are present together</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4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Error: students may focus on the most familiar test (phenolphthalein for NaOH) and incorrectly claim it confirms all three products — a critical logical error in experimental design, as one test cannot confirm three different substances.</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4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2</w:t>
            </w:r>
          </w:p>
        </w:tc>
        <w:tc>
          <w:tcPr>
            <w:shd w:fill="auto" w:val="clear"/>
            <w:tcMar>
              <w:top w:w="100.0" w:type="dxa"/>
              <w:left w:w="100.0" w:type="dxa"/>
              <w:bottom w:w="100.0" w:type="dxa"/>
              <w:right w:w="100.0" w:type="dxa"/>
            </w:tcMar>
            <w:vAlign w:val="top"/>
          </w:tcPr>
          <w:p w:rsidR="00000000" w:rsidDel="00000000" w:rsidP="00000000" w:rsidRDefault="00000000" w:rsidRPr="00000000" w14:paraId="000004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Collect all the gas in one jar and test with a burning candle; if it burns, all three products are confirmed</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4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Error: students may apply the hydrogen test broadly, not realising that mixing H₂ and Cl₂ together would be hazardous and that burning confirms only H₂ — Cl₂ does not support combustion and NaOH is in solution, not gas form.</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3</w:t>
            </w:r>
          </w:p>
        </w:tc>
        <w:tc>
          <w:tcPr>
            <w:shd w:fill="auto" w:val="clear"/>
            <w:tcMar>
              <w:top w:w="100.0" w:type="dxa"/>
              <w:left w:w="100.0" w:type="dxa"/>
              <w:bottom w:w="100.0" w:type="dxa"/>
              <w:right w:w="100.0" w:type="dxa"/>
            </w:tcMar>
            <w:vAlign w:val="top"/>
          </w:tcPr>
          <w:p w:rsidR="00000000" w:rsidDel="00000000" w:rsidP="00000000" w:rsidRDefault="00000000" w:rsidRPr="00000000" w14:paraId="00000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Add the solution to hydrochloric acid; if fizzing occurs, all three products are confirmed by the CO₂ released</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Error: students may confuse the reaction of NaOH with HCl (neutralisation, no gas) with the reaction of Na₂CO₃ with HCl (which gives CO₂) — this incorrect test would not work for confirming NaOH, and cannot confirm Cl₂ or H₂ at all.</w:t>
            </w:r>
          </w:p>
        </w:tc>
      </w:tr>
    </w:tbl>
    <w:p w:rsidR="00000000" w:rsidDel="00000000" w:rsidP="00000000" w:rsidRDefault="00000000" w:rsidRPr="00000000" w14:paraId="00000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45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80" w:line="276" w:lineRule="auto"/>
        <w:ind w:left="0" w:right="0" w:firstLine="0"/>
        <w:jc w:val="left"/>
        <w:rPr>
          <w:b w:val="1"/>
          <w:bCs w:val="1"/>
        </w:rPr>
      </w:pPr>
      <w:r w:rsidDel="00000000" w:rsidR="00000000" w:rsidRPr="00000000">
        <w:rPr>
          <w:b w:val="1"/>
          <w:bCs w:val="1"/>
          <w:rtl w:val="0"/>
        </w:rPr>
        <w:t xml:space="preserve">Decision — mark x in the box next to your choice:</w:t>
      </w:r>
    </w:p>
    <w:tbl>
      <w:tblPr>
        <w:tblStyle w:val="Table112"/>
        <w:tblW w:w="81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900"/>
        <w:gridCol w:w="1800"/>
        <w:gridCol w:w="900"/>
        <w:gridCol w:w="1800"/>
        <w:gridCol w:w="900"/>
        <w:tblGridChange w:id="0">
          <w:tblGrid>
            <w:gridCol w:w="1800"/>
            <w:gridCol w:w="900"/>
            <w:gridCol w:w="1800"/>
            <w:gridCol w:w="900"/>
            <w:gridCol w:w="1800"/>
            <w:gridCol w:w="9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Accepted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Modified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Rejected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x</w:t>
            </w:r>
          </w:p>
        </w:tc>
      </w:tr>
    </w:tbl>
    <w:p w:rsidR="00000000" w:rsidDel="00000000" w:rsidP="00000000" w:rsidRDefault="00000000" w:rsidRPr="00000000" w14:paraId="000004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Stem says…the chapter describes…</w:t>
      </w:r>
    </w:p>
    <w:p w:rsidR="00000000" w:rsidDel="00000000" w:rsidP="00000000" w:rsidRDefault="00000000" w:rsidRPr="00000000" w14:paraId="000004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p w:rsidR="00000000" w:rsidDel="00000000" w:rsidP="00000000" w:rsidRDefault="00000000" w:rsidRPr="00000000" w14:paraId="00000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5E">
      <w:pPr>
        <w:pStyle w:val="Heading2"/>
        <w:rPr/>
      </w:pPr>
      <w:bookmarkStart w:colFirst="0" w:colLast="0" w:name="_2mm5hxov0w6a" w:id="23"/>
      <w:bookmarkEnd w:id="23"/>
      <w:r w:rsidDel="00000000" w:rsidR="00000000" w:rsidRPr="00000000">
        <w:rPr>
          <w:rtl w:val="0"/>
        </w:rPr>
        <w:t xml:space="preserve">Question ID: SCI-G10-20260809-11CD48</w:t>
      </w:r>
    </w:p>
    <w:tbl>
      <w:tblPr>
        <w:tblStyle w:val="Table113"/>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7.25"/>
        <w:gridCol w:w="2617.25"/>
        <w:gridCol w:w="2617.25"/>
        <w:gridCol w:w="2617.25"/>
        <w:tblGridChange w:id="0">
          <w:tblGrid>
            <w:gridCol w:w="2617.25"/>
            <w:gridCol w:w="2617.25"/>
            <w:gridCol w:w="2617.25"/>
            <w:gridCol w:w="2617.25"/>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4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Subject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Class</w:t>
            </w:r>
          </w:p>
        </w:tc>
        <w:tc>
          <w:tcPr>
            <w:shd w:fill="d9d9d9" w:val="clear"/>
            <w:tcMar>
              <w:top w:w="100.0" w:type="dxa"/>
              <w:left w:w="100.0" w:type="dxa"/>
              <w:bottom w:w="100.0" w:type="dxa"/>
              <w:right w:w="100.0" w:type="dxa"/>
            </w:tcMar>
            <w:vAlign w:val="top"/>
          </w:tcPr>
          <w:p w:rsidR="00000000" w:rsidDel="00000000" w:rsidP="00000000" w:rsidRDefault="00000000" w:rsidRPr="00000000" w14:paraId="000004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DoK Level</w:t>
            </w:r>
          </w:p>
        </w:tc>
        <w:tc>
          <w:tcPr>
            <w:shd w:fill="d9d9d9" w:val="clear"/>
            <w:tcMar>
              <w:top w:w="100.0" w:type="dxa"/>
              <w:left w:w="100.0" w:type="dxa"/>
              <w:bottom w:w="100.0" w:type="dxa"/>
              <w:right w:w="100.0" w:type="dxa"/>
            </w:tcMar>
            <w:vAlign w:val="top"/>
          </w:tcPr>
          <w:p w:rsidR="00000000" w:rsidDel="00000000" w:rsidP="00000000" w:rsidRDefault="00000000" w:rsidRPr="00000000" w14:paraId="000004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Marks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Science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4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4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3</w:t>
            </w:r>
          </w:p>
        </w:tc>
      </w:tr>
    </w:tbl>
    <w:p w:rsidR="00000000" w:rsidDel="00000000" w:rsidP="00000000" w:rsidRDefault="00000000" w:rsidRPr="00000000" w14:paraId="00000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14"/>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9"/>
        <w:tblGridChange w:id="0">
          <w:tblGrid>
            <w:gridCol w:w="10469"/>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4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Curricular Goal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C-7.2</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Competency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C-7.2 — Scientific inquiry, experimentation, observation and inference</w:t>
            </w:r>
          </w:p>
        </w:tc>
      </w:tr>
    </w:tbl>
    <w:p w:rsidR="00000000" w:rsidDel="00000000" w:rsidP="00000000" w:rsidRDefault="00000000" w:rsidRPr="00000000" w14:paraId="000004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15"/>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4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4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A research team investigates an unknown mineral sample extracted from an eco-neutral zone. The sample is divided into three parts for testing: Part I is treated with steam, yielding a flammable gas and a solid oxide; Part II is treated with dilute nitric acid, which generates a non-flammable gas and water; Part III is added to an aqueous solution of Aluminium sulphate, resulting in no observable physical or chemical change. Analyze these combined scientific observations to deduce the identity of the primary metal in the mineral.</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4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Image Required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No</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4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Prompt</w:t>
            </w:r>
          </w:p>
        </w:tc>
        <w:tc>
          <w:tcPr>
            <w:shd w:fill="auto" w:val="clear"/>
            <w:tcMar>
              <w:top w:w="100.0" w:type="dxa"/>
              <w:left w:w="100.0" w:type="dxa"/>
              <w:bottom w:w="100.0" w:type="dxa"/>
              <w:right w:w="100.0" w:type="dxa"/>
            </w:tcMar>
            <w:vAlign w:val="top"/>
          </w:tcPr>
          <w:p w:rsidR="00000000" w:rsidDel="00000000" w:rsidP="00000000" w:rsidRDefault="00000000" w:rsidRPr="00000000" w14:paraId="000004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Analyze these combined scientific observations to deduce the identity of the primary metal in the mineral.</w:t>
            </w:r>
          </w:p>
        </w:tc>
      </w:tr>
    </w:tbl>
    <w:p w:rsidR="00000000" w:rsidDel="00000000" w:rsidP="00000000" w:rsidRDefault="00000000" w:rsidRPr="00000000" w14:paraId="000004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16"/>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4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Correct Answer</w:t>
            </w:r>
          </w:p>
        </w:tc>
        <w:tc>
          <w:tcPr>
            <w:tcMar>
              <w:top w:w="100.0" w:type="dxa"/>
              <w:left w:w="100.0" w:type="dxa"/>
              <w:bottom w:w="100.0" w:type="dxa"/>
              <w:right w:w="100.0" w:type="dxa"/>
            </w:tcMar>
            <w:vAlign w:val="top"/>
          </w:tcPr>
          <w:p w:rsidR="00000000" w:rsidDel="00000000" w:rsidP="00000000" w:rsidRDefault="00000000" w:rsidRPr="00000000" w14:paraId="00000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Iron; it reacts with steam to form hydrogen, reacts with a strong oxidizing acid without evolving hydrogen, and is less reactive than aluminium.</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4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4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Demands synthesizing three distinct contradictory-seeming chemical data points, cross-referencing with the activity series, and eliminating false leads systematically.</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4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1</w:t>
            </w:r>
          </w:p>
        </w:tc>
        <w:tc>
          <w:tcPr>
            <w:shd w:fill="auto" w:val="clear"/>
            <w:tcMar>
              <w:top w:w="100.0" w:type="dxa"/>
              <w:left w:w="100.0" w:type="dxa"/>
              <w:bottom w:w="100.0" w:type="dxa"/>
              <w:right w:w="100.0" w:type="dxa"/>
            </w:tcMar>
            <w:vAlign w:val="top"/>
          </w:tcPr>
          <w:p w:rsidR="00000000" w:rsidDel="00000000" w:rsidP="00000000" w:rsidRDefault="00000000" w:rsidRPr="00000000" w14:paraId="00000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Magnesium; it reacts with steam, forms hydrogen with all acids, and easily displaces aluminium due to its superior position in the activity series.</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4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4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The student ignores the specific constraints of the nitric acid behavior and the negative displacement outcome with aluminium.</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4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2</w:t>
            </w:r>
          </w:p>
        </w:tc>
        <w:tc>
          <w:tcPr>
            <w:shd w:fill="auto" w:val="clear"/>
            <w:tcMar>
              <w:top w:w="100.0" w:type="dxa"/>
              <w:left w:w="100.0" w:type="dxa"/>
              <w:bottom w:w="100.0" w:type="dxa"/>
              <w:right w:w="100.0" w:type="dxa"/>
            </w:tcMar>
            <w:vAlign w:val="top"/>
          </w:tcPr>
          <w:p w:rsidR="00000000" w:rsidDel="00000000" w:rsidP="00000000" w:rsidRDefault="00000000" w:rsidRPr="00000000" w14:paraId="000004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Copper; it is a stable transition metal that is completely resistant to steam and displacement interactions with light metals.</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4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4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The student focuses exclusively on the negative aluminium test while completely ignoring the active reactions with steam and acids described in Parts I and II.</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4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3</w:t>
            </w:r>
          </w:p>
        </w:tc>
        <w:tc>
          <w:tcPr>
            <w:shd w:fill="auto" w:val="clear"/>
            <w:tcMar>
              <w:top w:w="100.0" w:type="dxa"/>
              <w:left w:w="100.0" w:type="dxa"/>
              <w:bottom w:w="100.0" w:type="dxa"/>
              <w:right w:w="100.0" w:type="dxa"/>
            </w:tcMar>
            <w:vAlign w:val="top"/>
          </w:tcPr>
          <w:p w:rsidR="00000000" w:rsidDel="00000000" w:rsidP="00000000" w:rsidRDefault="00000000" w:rsidRPr="00000000" w14:paraId="00000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Sodium; its extreme reactivity allows it to react with steam or any form of water to produce a dense basic oxide and hydrogen gas.</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4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The student overlooks the fact that sodium reacts violently with cold water long before steam can be applied, and would easily displace aluminium.</w:t>
            </w:r>
          </w:p>
        </w:tc>
      </w:tr>
    </w:tbl>
    <w:p w:rsidR="00000000" w:rsidDel="00000000" w:rsidP="00000000" w:rsidRDefault="00000000" w:rsidRPr="00000000" w14:paraId="000004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48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80" w:line="276" w:lineRule="auto"/>
        <w:ind w:left="0" w:right="0" w:firstLine="0"/>
        <w:jc w:val="left"/>
        <w:rPr>
          <w:b w:val="1"/>
          <w:bCs w:val="1"/>
        </w:rPr>
      </w:pPr>
      <w:r w:rsidDel="00000000" w:rsidR="00000000" w:rsidRPr="00000000">
        <w:rPr>
          <w:b w:val="1"/>
          <w:bCs w:val="1"/>
          <w:rtl w:val="0"/>
        </w:rPr>
        <w:t xml:space="preserve">Decision — mark x in the box next to your choice:</w:t>
      </w:r>
    </w:p>
    <w:tbl>
      <w:tblPr>
        <w:tblStyle w:val="Table117"/>
        <w:tblW w:w="81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900"/>
        <w:gridCol w:w="1800"/>
        <w:gridCol w:w="900"/>
        <w:gridCol w:w="1800"/>
        <w:gridCol w:w="900"/>
        <w:tblGridChange w:id="0">
          <w:tblGrid>
            <w:gridCol w:w="1800"/>
            <w:gridCol w:w="900"/>
            <w:gridCol w:w="1800"/>
            <w:gridCol w:w="900"/>
            <w:gridCol w:w="1800"/>
            <w:gridCol w:w="9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Accepted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Modified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Rejected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x</w:t>
            </w:r>
          </w:p>
        </w:tc>
      </w:tr>
    </w:tbl>
    <w:p w:rsidR="00000000" w:rsidDel="00000000" w:rsidP="00000000" w:rsidRDefault="00000000" w:rsidRPr="00000000" w14:paraId="000004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Wrong prompt; Options too long.</w:t>
      </w:r>
    </w:p>
    <w:p w:rsidR="00000000" w:rsidDel="00000000" w:rsidP="00000000" w:rsidRDefault="00000000" w:rsidRPr="00000000" w14:paraId="00000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p w:rsidR="00000000" w:rsidDel="00000000" w:rsidP="00000000" w:rsidRDefault="00000000" w:rsidRPr="00000000" w14:paraId="00000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8F">
      <w:pPr>
        <w:pStyle w:val="Heading2"/>
        <w:rPr/>
      </w:pPr>
      <w:bookmarkStart w:colFirst="0" w:colLast="0" w:name="_ceipt197xnlz" w:id="24"/>
      <w:bookmarkEnd w:id="24"/>
      <w:r w:rsidDel="00000000" w:rsidR="00000000" w:rsidRPr="00000000">
        <w:rPr>
          <w:rtl w:val="0"/>
        </w:rPr>
        <w:t xml:space="preserve">Question ID: SCI-G10-20260809-C42BC0</w:t>
      </w:r>
    </w:p>
    <w:tbl>
      <w:tblPr>
        <w:tblStyle w:val="Table118"/>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7.25"/>
        <w:gridCol w:w="2617.25"/>
        <w:gridCol w:w="2617.25"/>
        <w:gridCol w:w="2617.25"/>
        <w:tblGridChange w:id="0">
          <w:tblGrid>
            <w:gridCol w:w="2617.25"/>
            <w:gridCol w:w="2617.25"/>
            <w:gridCol w:w="2617.25"/>
            <w:gridCol w:w="2617.25"/>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4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Subject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Class</w:t>
            </w:r>
          </w:p>
        </w:tc>
        <w:tc>
          <w:tcPr>
            <w:shd w:fill="d9d9d9" w:val="clear"/>
            <w:tcMar>
              <w:top w:w="100.0" w:type="dxa"/>
              <w:left w:w="100.0" w:type="dxa"/>
              <w:bottom w:w="100.0" w:type="dxa"/>
              <w:right w:w="100.0" w:type="dxa"/>
            </w:tcMar>
            <w:vAlign w:val="top"/>
          </w:tcPr>
          <w:p w:rsidR="00000000" w:rsidDel="00000000" w:rsidP="00000000" w:rsidRDefault="00000000" w:rsidRPr="00000000" w14:paraId="00000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DoK Level</w:t>
            </w:r>
          </w:p>
        </w:tc>
        <w:tc>
          <w:tcPr>
            <w:shd w:fill="d9d9d9" w:val="clear"/>
            <w:tcMar>
              <w:top w:w="100.0" w:type="dxa"/>
              <w:left w:w="100.0" w:type="dxa"/>
              <w:bottom w:w="100.0" w:type="dxa"/>
              <w:right w:w="100.0" w:type="dxa"/>
            </w:tcMar>
            <w:vAlign w:val="top"/>
          </w:tcPr>
          <w:p w:rsidR="00000000" w:rsidDel="00000000" w:rsidP="00000000" w:rsidRDefault="00000000" w:rsidRPr="00000000" w14:paraId="00000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Marks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Science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4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4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3</w:t>
            </w:r>
          </w:p>
        </w:tc>
      </w:tr>
    </w:tbl>
    <w:p w:rsidR="00000000" w:rsidDel="00000000" w:rsidP="00000000" w:rsidRDefault="00000000" w:rsidRPr="00000000" w14:paraId="00000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19"/>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9"/>
        <w:tblGridChange w:id="0">
          <w:tblGrid>
            <w:gridCol w:w="10469"/>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4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Curricular Goal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C-7.1</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4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Competency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C-7.1: Mathematical and graphical modelling; C-2.3: Lens formula and magnification; C-7.2: Prediction and inference from data</w:t>
            </w:r>
          </w:p>
        </w:tc>
      </w:tr>
    </w:tbl>
    <w:p w:rsidR="00000000" w:rsidDel="00000000" w:rsidP="00000000" w:rsidRDefault="00000000" w:rsidRPr="00000000" w14:paraId="00000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20"/>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4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Swati investigates image formation using a convex lens of focal length 10 cm. She records the following data:</w:t>
            </w:r>
          </w:p>
          <w:p w:rsidR="00000000" w:rsidDel="00000000" w:rsidP="00000000" w:rsidRDefault="00000000" w:rsidRPr="00000000" w14:paraId="00000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21"/>
              <w:tblW w:w="51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50"/>
              <w:gridCol w:w="2550"/>
              <w:tblGridChange w:id="0">
                <w:tblGrid>
                  <w:gridCol w:w="2550"/>
                  <w:gridCol w:w="25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1">
                  <w:pPr>
                    <w:widowControl w:val="0"/>
                    <w:jc w:val="center"/>
                    <w:rPr/>
                  </w:pPr>
                  <w:r w:rsidDel="00000000" w:rsidR="00000000" w:rsidRPr="00000000">
                    <w:rPr>
                      <w:rtl w:val="0"/>
                    </w:rPr>
                    <w:t xml:space="preserve">Object distance (u)</w:t>
                  </w:r>
                </w:p>
              </w:tc>
              <w:tc>
                <w:tcPr>
                  <w:shd w:fill="auto" w:val="clear"/>
                  <w:tcMar>
                    <w:top w:w="100.0" w:type="dxa"/>
                    <w:left w:w="100.0" w:type="dxa"/>
                    <w:bottom w:w="100.0" w:type="dxa"/>
                    <w:right w:w="100.0" w:type="dxa"/>
                  </w:tcMar>
                  <w:vAlign w:val="top"/>
                </w:tcPr>
                <w:p w:rsidR="00000000" w:rsidDel="00000000" w:rsidP="00000000" w:rsidRDefault="00000000" w:rsidRPr="00000000" w14:paraId="000004A2">
                  <w:pPr>
                    <w:widowControl w:val="0"/>
                    <w:jc w:val="center"/>
                    <w:rPr/>
                  </w:pPr>
                  <w:r w:rsidDel="00000000" w:rsidR="00000000" w:rsidRPr="00000000">
                    <w:rPr>
                      <w:rtl w:val="0"/>
                    </w:rPr>
                    <w:t xml:space="preserve">Image distance (v)</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3">
                  <w:pPr>
                    <w:widowControl w:val="0"/>
                    <w:jc w:val="center"/>
                    <w:rPr/>
                  </w:pPr>
                  <w:r w:rsidDel="00000000" w:rsidR="00000000" w:rsidRPr="00000000">
                    <w:rPr>
                      <w:rtl w:val="0"/>
                    </w:rPr>
                    <w:t xml:space="preserve">–40 cm</w:t>
                  </w:r>
                </w:p>
              </w:tc>
              <w:tc>
                <w:tcPr>
                  <w:shd w:fill="auto" w:val="clear"/>
                  <w:tcMar>
                    <w:top w:w="100.0" w:type="dxa"/>
                    <w:left w:w="100.0" w:type="dxa"/>
                    <w:bottom w:w="100.0" w:type="dxa"/>
                    <w:right w:w="100.0" w:type="dxa"/>
                  </w:tcMar>
                  <w:vAlign w:val="top"/>
                </w:tcPr>
                <w:p w:rsidR="00000000" w:rsidDel="00000000" w:rsidP="00000000" w:rsidRDefault="00000000" w:rsidRPr="00000000" w14:paraId="000004A4">
                  <w:pPr>
                    <w:widowControl w:val="0"/>
                    <w:jc w:val="center"/>
                    <w:rPr/>
                  </w:pPr>
                  <w:r w:rsidDel="00000000" w:rsidR="00000000" w:rsidRPr="00000000">
                    <w:rPr>
                      <w:rtl w:val="0"/>
                    </w:rPr>
                    <w:t xml:space="preserve">+13.3 cm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5">
                  <w:pPr>
                    <w:widowControl w:val="0"/>
                    <w:jc w:val="center"/>
                    <w:rPr/>
                  </w:pPr>
                  <w:r w:rsidDel="00000000" w:rsidR="00000000" w:rsidRPr="00000000">
                    <w:rPr>
                      <w:rtl w:val="0"/>
                    </w:rPr>
                    <w:t xml:space="preserve">–20 cm</w:t>
                  </w:r>
                </w:p>
              </w:tc>
              <w:tc>
                <w:tcPr>
                  <w:shd w:fill="auto" w:val="clear"/>
                  <w:tcMar>
                    <w:top w:w="100.0" w:type="dxa"/>
                    <w:left w:w="100.0" w:type="dxa"/>
                    <w:bottom w:w="100.0" w:type="dxa"/>
                    <w:right w:w="100.0" w:type="dxa"/>
                  </w:tcMar>
                  <w:vAlign w:val="top"/>
                </w:tcPr>
                <w:p w:rsidR="00000000" w:rsidDel="00000000" w:rsidP="00000000" w:rsidRDefault="00000000" w:rsidRPr="00000000" w14:paraId="000004A6">
                  <w:pPr>
                    <w:widowControl w:val="0"/>
                    <w:jc w:val="center"/>
                    <w:rPr/>
                  </w:pPr>
                  <w:r w:rsidDel="00000000" w:rsidR="00000000" w:rsidRPr="00000000">
                    <w:rPr>
                      <w:rtl w:val="0"/>
                    </w:rPr>
                    <w:t xml:space="preserve">+20 cm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7">
                  <w:pPr>
                    <w:widowControl w:val="0"/>
                    <w:jc w:val="center"/>
                    <w:rPr/>
                  </w:pPr>
                  <w:r w:rsidDel="00000000" w:rsidR="00000000" w:rsidRPr="00000000">
                    <w:rPr>
                      <w:rtl w:val="0"/>
                    </w:rPr>
                    <w:t xml:space="preserve">–15 cm</w:t>
                  </w:r>
                </w:p>
              </w:tc>
              <w:tc>
                <w:tcPr>
                  <w:shd w:fill="auto" w:val="clear"/>
                  <w:tcMar>
                    <w:top w:w="100.0" w:type="dxa"/>
                    <w:left w:w="100.0" w:type="dxa"/>
                    <w:bottom w:w="100.0" w:type="dxa"/>
                    <w:right w:w="100.0" w:type="dxa"/>
                  </w:tcMar>
                  <w:vAlign w:val="top"/>
                </w:tcPr>
                <w:p w:rsidR="00000000" w:rsidDel="00000000" w:rsidP="00000000" w:rsidRDefault="00000000" w:rsidRPr="00000000" w14:paraId="000004A8">
                  <w:pPr>
                    <w:widowControl w:val="0"/>
                    <w:jc w:val="center"/>
                    <w:rPr/>
                  </w:pPr>
                  <w:r w:rsidDel="00000000" w:rsidR="00000000" w:rsidRPr="00000000">
                    <w:rPr>
                      <w:rtl w:val="0"/>
                    </w:rPr>
                    <w:t xml:space="preserve">+30 cm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9">
                  <w:pPr>
                    <w:widowControl w:val="0"/>
                    <w:jc w:val="center"/>
                    <w:rPr/>
                  </w:pPr>
                  <w:r w:rsidDel="00000000" w:rsidR="00000000" w:rsidRPr="00000000">
                    <w:rPr>
                      <w:rtl w:val="0"/>
                    </w:rPr>
                    <w:t xml:space="preserve">–12 cm</w:t>
                  </w:r>
                </w:p>
              </w:tc>
              <w:tc>
                <w:tcPr>
                  <w:shd w:fill="auto" w:val="clear"/>
                  <w:tcMar>
                    <w:top w:w="100.0" w:type="dxa"/>
                    <w:left w:w="100.0" w:type="dxa"/>
                    <w:bottom w:w="100.0" w:type="dxa"/>
                    <w:right w:w="100.0" w:type="dxa"/>
                  </w:tcMar>
                  <w:vAlign w:val="top"/>
                </w:tcPr>
                <w:p w:rsidR="00000000" w:rsidDel="00000000" w:rsidP="00000000" w:rsidRDefault="00000000" w:rsidRPr="00000000" w14:paraId="000004AA">
                  <w:pPr>
                    <w:widowControl w:val="0"/>
                    <w:jc w:val="center"/>
                    <w:rPr/>
                  </w:pPr>
                  <w:r w:rsidDel="00000000" w:rsidR="00000000" w:rsidRPr="00000000">
                    <w:rPr>
                      <w:rtl w:val="0"/>
                    </w:rPr>
                    <w:t xml:space="preserve">+60 cm</w:t>
                  </w:r>
                </w:p>
              </w:tc>
            </w:tr>
          </w:tbl>
          <w:p w:rsidR="00000000" w:rsidDel="00000000" w:rsidP="00000000" w:rsidRDefault="00000000" w:rsidRPr="00000000" w14:paraId="00000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4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She notices a pattern and makes the following two claims:</w:t>
            </w:r>
          </w:p>
          <w:p w:rsidR="00000000" w:rsidDel="00000000" w:rsidP="00000000" w:rsidRDefault="00000000" w:rsidRPr="00000000" w14:paraId="000004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Claim 1: 'As the object moves closer to F, the image distance increases rapidly and the magnification increases.'</w:t>
            </w:r>
          </w:p>
          <w:p w:rsidR="00000000" w:rsidDel="00000000" w:rsidP="00000000" w:rsidRDefault="00000000" w:rsidRPr="00000000" w14:paraId="000004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Claim 2: 'At u = –10 cm (at F), the image will form at v = +10 cm.'</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4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Image Required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No</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4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Prompt</w:t>
            </w:r>
          </w:p>
        </w:tc>
        <w:tc>
          <w:tcPr>
            <w:shd w:fill="auto" w:val="clear"/>
            <w:tcMar>
              <w:top w:w="100.0" w:type="dxa"/>
              <w:left w:w="100.0" w:type="dxa"/>
              <w:bottom w:w="100.0" w:type="dxa"/>
              <w:right w:w="100.0" w:type="dxa"/>
            </w:tcMar>
            <w:vAlign w:val="top"/>
          </w:tcPr>
          <w:p w:rsidR="00000000" w:rsidDel="00000000" w:rsidP="00000000" w:rsidRDefault="00000000" w:rsidRPr="00000000" w14:paraId="000004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Using the lens formula and magnification, evaluate both claims and select the correct assessment.</w:t>
            </w:r>
          </w:p>
        </w:tc>
      </w:tr>
    </w:tbl>
    <w:p w:rsidR="00000000" w:rsidDel="00000000" w:rsidP="00000000" w:rsidRDefault="00000000" w:rsidRPr="00000000" w14:paraId="000004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22"/>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4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Correct Answer</w:t>
            </w:r>
          </w:p>
        </w:tc>
        <w:tc>
          <w:tcPr>
            <w:tcMar>
              <w:top w:w="100.0" w:type="dxa"/>
              <w:left w:w="100.0" w:type="dxa"/>
              <w:bottom w:w="100.0" w:type="dxa"/>
              <w:right w:w="100.0" w:type="dxa"/>
            </w:tcMar>
            <w:vAlign w:val="top"/>
          </w:tcPr>
          <w:p w:rsidR="00000000" w:rsidDel="00000000" w:rsidP="00000000" w:rsidRDefault="00000000" w:rsidRPr="00000000" w14:paraId="000004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Claim 2 is incorrect</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4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4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Requires multi-step analysis: interpreting a data table, identifying a trend in magnification, applying the lens formula at a limiting case (u = f), and evaluating two scientific claims — demands strategic thinking and problem-solving across connected concepts.</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4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1</w:t>
            </w:r>
          </w:p>
        </w:tc>
        <w:tc>
          <w:tcPr>
            <w:shd w:fill="auto" w:val="clear"/>
            <w:tcMar>
              <w:top w:w="100.0" w:type="dxa"/>
              <w:left w:w="100.0" w:type="dxa"/>
              <w:bottom w:w="100.0" w:type="dxa"/>
              <w:right w:w="100.0" w:type="dxa"/>
            </w:tcMar>
            <w:vAlign w:val="top"/>
          </w:tcPr>
          <w:p w:rsidR="00000000" w:rsidDel="00000000" w:rsidP="00000000" w:rsidRDefault="00000000" w:rsidRPr="00000000" w14:paraId="00000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Claim 2 is correct</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4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4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Fonts w:ascii="Arial Unicode MS" w:cs="Arial Unicode MS" w:eastAsia="Arial Unicode MS" w:hAnsi="Arial Unicode MS"/>
                <w:rtl w:val="0"/>
              </w:rPr>
              <w:t xml:space="preserve">Student accepts Claim 2 without applying the lens formula at u = f = –10 cm, failing to recognise that 1/v = 1/f – 1/u = 0, meaning v → ∞.</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4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2</w:t>
            </w:r>
          </w:p>
        </w:tc>
        <w:tc>
          <w:tcPr>
            <w:shd w:fill="auto" w:val="clear"/>
            <w:tcMar>
              <w:top w:w="100.0" w:type="dxa"/>
              <w:left w:w="100.0" w:type="dxa"/>
              <w:bottom w:w="100.0" w:type="dxa"/>
              <w:right w:w="100.0" w:type="dxa"/>
            </w:tcMar>
            <w:vAlign w:val="top"/>
          </w:tcPr>
          <w:p w:rsidR="00000000" w:rsidDel="00000000" w:rsidP="00000000" w:rsidRDefault="00000000" w:rsidRPr="00000000" w14:paraId="000004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Claim 1 incorrect </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4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4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Student misreads the data table trend, not computing m = v/u across rows to see that |m| grows as u approaches F, a data interpretation error.</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4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3</w:t>
            </w:r>
          </w:p>
        </w:tc>
        <w:tc>
          <w:tcPr>
            <w:shd w:fill="auto" w:val="clear"/>
            <w:tcMar>
              <w:top w:w="100.0" w:type="dxa"/>
              <w:left w:w="100.0" w:type="dxa"/>
              <w:bottom w:w="100.0" w:type="dxa"/>
              <w:right w:w="100.0" w:type="dxa"/>
            </w:tcMar>
            <w:vAlign w:val="top"/>
          </w:tcPr>
          <w:p w:rsidR="00000000" w:rsidDel="00000000" w:rsidP="00000000" w:rsidRDefault="00000000" w:rsidRPr="00000000" w14:paraId="000004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Both claims incorrect</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4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4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Student fundamentally misreads the data, perhaps confusing object distance and image distance columns or misunderstanding the sign convention for u.</w:t>
            </w:r>
          </w:p>
        </w:tc>
      </w:tr>
    </w:tbl>
    <w:p w:rsidR="00000000" w:rsidDel="00000000" w:rsidP="00000000" w:rsidRDefault="00000000" w:rsidRPr="00000000" w14:paraId="000004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4C7">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80" w:line="276" w:lineRule="auto"/>
        <w:ind w:left="0" w:right="0" w:firstLine="0"/>
        <w:jc w:val="left"/>
        <w:rPr>
          <w:b w:val="1"/>
          <w:bCs w:val="1"/>
        </w:rPr>
      </w:pPr>
      <w:r w:rsidDel="00000000" w:rsidR="00000000" w:rsidRPr="00000000">
        <w:rPr>
          <w:b w:val="1"/>
          <w:bCs w:val="1"/>
          <w:rtl w:val="0"/>
        </w:rPr>
        <w:t xml:space="preserve">Decision — mark x in the box next to your choice:</w:t>
      </w:r>
    </w:p>
    <w:tbl>
      <w:tblPr>
        <w:tblStyle w:val="Table123"/>
        <w:tblW w:w="81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900"/>
        <w:gridCol w:w="1800"/>
        <w:gridCol w:w="900"/>
        <w:gridCol w:w="1800"/>
        <w:gridCol w:w="900"/>
        <w:tblGridChange w:id="0">
          <w:tblGrid>
            <w:gridCol w:w="1800"/>
            <w:gridCol w:w="900"/>
            <w:gridCol w:w="1800"/>
            <w:gridCol w:w="900"/>
            <w:gridCol w:w="1800"/>
            <w:gridCol w:w="9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Accepted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Modified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Rejected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x</w:t>
            </w:r>
          </w:p>
        </w:tc>
      </w:tr>
    </w:tbl>
    <w:p w:rsidR="00000000" w:rsidDel="00000000" w:rsidP="00000000" w:rsidRDefault="00000000" w:rsidRPr="00000000" w14:paraId="000004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DoK seems wrong as the correct answer looks obvious. Need to recheck with SME</w:t>
      </w:r>
    </w:p>
    <w:p w:rsidR="00000000" w:rsidDel="00000000" w:rsidP="00000000" w:rsidRDefault="00000000" w:rsidRPr="00000000" w14:paraId="000004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p w:rsidR="00000000" w:rsidDel="00000000" w:rsidP="00000000" w:rsidRDefault="00000000" w:rsidRPr="00000000" w14:paraId="000004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D1">
      <w:pPr>
        <w:pStyle w:val="Heading2"/>
        <w:rPr/>
      </w:pPr>
      <w:bookmarkStart w:colFirst="0" w:colLast="0" w:name="_6fcwi4mlrqto" w:id="25"/>
      <w:bookmarkEnd w:id="25"/>
      <w:r w:rsidDel="00000000" w:rsidR="00000000" w:rsidRPr="00000000">
        <w:rPr>
          <w:rtl w:val="0"/>
        </w:rPr>
        <w:t xml:space="preserve">Question ID: SCI-G10-20260809-373B19</w:t>
      </w:r>
    </w:p>
    <w:tbl>
      <w:tblPr>
        <w:tblStyle w:val="Table124"/>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7.25"/>
        <w:gridCol w:w="2617.25"/>
        <w:gridCol w:w="2617.25"/>
        <w:gridCol w:w="2617.25"/>
        <w:tblGridChange w:id="0">
          <w:tblGrid>
            <w:gridCol w:w="2617.25"/>
            <w:gridCol w:w="2617.25"/>
            <w:gridCol w:w="2617.25"/>
            <w:gridCol w:w="2617.25"/>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4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Subject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4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Class</w:t>
            </w:r>
          </w:p>
        </w:tc>
        <w:tc>
          <w:tcPr>
            <w:shd w:fill="d9d9d9" w:val="clear"/>
            <w:tcMar>
              <w:top w:w="100.0" w:type="dxa"/>
              <w:left w:w="100.0" w:type="dxa"/>
              <w:bottom w:w="100.0" w:type="dxa"/>
              <w:right w:w="100.0" w:type="dxa"/>
            </w:tcMar>
            <w:vAlign w:val="top"/>
          </w:tcPr>
          <w:p w:rsidR="00000000" w:rsidDel="00000000" w:rsidP="00000000" w:rsidRDefault="00000000" w:rsidRPr="00000000" w14:paraId="000004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DoK Level</w:t>
            </w:r>
          </w:p>
        </w:tc>
        <w:tc>
          <w:tcPr>
            <w:shd w:fill="d9d9d9" w:val="clear"/>
            <w:tcMar>
              <w:top w:w="100.0" w:type="dxa"/>
              <w:left w:w="100.0" w:type="dxa"/>
              <w:bottom w:w="100.0" w:type="dxa"/>
              <w:right w:w="100.0" w:type="dxa"/>
            </w:tcMar>
            <w:vAlign w:val="top"/>
          </w:tcPr>
          <w:p w:rsidR="00000000" w:rsidDel="00000000" w:rsidP="00000000" w:rsidRDefault="00000000" w:rsidRPr="00000000" w14:paraId="000004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Marks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Science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4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4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3</w:t>
            </w:r>
          </w:p>
        </w:tc>
      </w:tr>
    </w:tbl>
    <w:p w:rsidR="00000000" w:rsidDel="00000000" w:rsidP="00000000" w:rsidRDefault="00000000" w:rsidRPr="00000000" w14:paraId="000004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25"/>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9"/>
        <w:tblGridChange w:id="0">
          <w:tblGrid>
            <w:gridCol w:w="10469"/>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4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Curricular Goal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C-2.4 + C-7.1</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4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Competency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Manipulates circuit characteristics using Ohm's law; develops mathematical and circuit models for series and parallel resistors.</w:t>
            </w:r>
          </w:p>
        </w:tc>
      </w:tr>
    </w:tbl>
    <w:p w:rsidR="00000000" w:rsidDel="00000000" w:rsidP="00000000" w:rsidRDefault="00000000" w:rsidRPr="00000000" w14:paraId="000004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26"/>
        <w:tblW w:w="105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10"/>
        <w:gridCol w:w="8280"/>
        <w:tblGridChange w:id="0">
          <w:tblGrid>
            <w:gridCol w:w="2310"/>
            <w:gridCol w:w="828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4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4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A wire of resistance R is cut into 5 equal parts. These 5 parts are then connected in parallel. If the equivalent resistance of the new combination is R', what is the ratio R/R'?</w:t>
            </w:r>
          </w:p>
          <w:p w:rsidR="00000000" w:rsidDel="00000000" w:rsidP="00000000" w:rsidRDefault="00000000" w:rsidRPr="00000000" w14:paraId="000004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4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A student reasons: 'Each part has resistance R/5. In parallel, the equivalent resistance is also R/5 because all parts are equal.'</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4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Image Required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No</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4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Prompt</w:t>
            </w:r>
          </w:p>
        </w:tc>
        <w:tc>
          <w:tcPr>
            <w:shd w:fill="auto" w:val="clear"/>
            <w:tcMar>
              <w:top w:w="100.0" w:type="dxa"/>
              <w:left w:w="100.0" w:type="dxa"/>
              <w:bottom w:w="100.0" w:type="dxa"/>
              <w:right w:w="100.0" w:type="dxa"/>
            </w:tcMar>
            <w:vAlign w:val="top"/>
          </w:tcPr>
          <w:p w:rsidR="00000000" w:rsidDel="00000000" w:rsidP="00000000" w:rsidRDefault="00000000" w:rsidRPr="00000000" w14:paraId="000004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Which of the following BEST evaluates the student's reasoning and gives the correct answer?</w:t>
            </w:r>
          </w:p>
        </w:tc>
      </w:tr>
    </w:tbl>
    <w:p w:rsidR="00000000" w:rsidDel="00000000" w:rsidP="00000000" w:rsidRDefault="00000000" w:rsidRPr="00000000" w14:paraId="000004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27"/>
        <w:tblW w:w="10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00"/>
        <w:gridCol w:w="8000"/>
        <w:tblGridChange w:id="0">
          <w:tblGrid>
            <w:gridCol w:w="2600"/>
            <w:gridCol w:w="800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4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Correct Answer</w:t>
            </w:r>
          </w:p>
        </w:tc>
        <w:tc>
          <w:tcPr>
            <w:tcMar>
              <w:top w:w="100.0" w:type="dxa"/>
              <w:left w:w="100.0" w:type="dxa"/>
              <w:bottom w:w="100.0" w:type="dxa"/>
              <w:right w:w="100.0" w:type="dxa"/>
            </w:tcMar>
            <w:vAlign w:val="top"/>
          </w:tcPr>
          <w:p w:rsidR="00000000" w:rsidDel="00000000" w:rsidP="00000000" w:rsidRDefault="00000000" w:rsidRPr="00000000" w14:paraId="000004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The student is partially correct — R' = R/5 ÷ 5 = R/25, making R/R' = 25; the error is in not applying the parallel formula</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4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4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3 marks: Requires evaluating a student's flawed reasoning step-by-step, applying the parallel resistance formula correctly, and computing the ratio R/R' — involves strategic thinking, error identification, and multi-step calculation.</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4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1</w:t>
            </w:r>
          </w:p>
        </w:tc>
        <w:tc>
          <w:tcPr>
            <w:shd w:fill="auto" w:val="clear"/>
            <w:tcMar>
              <w:top w:w="100.0" w:type="dxa"/>
              <w:left w:w="100.0" w:type="dxa"/>
              <w:bottom w:w="100.0" w:type="dxa"/>
              <w:right w:w="100.0" w:type="dxa"/>
            </w:tcMar>
            <w:vAlign w:val="top"/>
          </w:tcPr>
          <w:p w:rsidR="00000000" w:rsidDel="00000000" w:rsidP="00000000" w:rsidRDefault="00000000" w:rsidRPr="00000000" w14:paraId="000004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The student is correct — R/R' = 1/5 × 5 = 1; the equivalent resistance equals R/5</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4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4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Error: students may agree with the incorrect claim, applying the parallel formula only to the part-resistance (R/5) without dividing further by the number of parallel branches (5), giving R' = R/5 instead of R/25.</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4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2</w:t>
            </w:r>
          </w:p>
        </w:tc>
        <w:tc>
          <w:tcPr>
            <w:shd w:fill="auto" w:val="clear"/>
            <w:tcMar>
              <w:top w:w="100.0" w:type="dxa"/>
              <w:left w:w="100.0" w:type="dxa"/>
              <w:bottom w:w="100.0" w:type="dxa"/>
              <w:right w:w="100.0" w:type="dxa"/>
            </w:tcMar>
            <w:vAlign w:val="top"/>
          </w:tcPr>
          <w:p w:rsidR="00000000" w:rsidDel="00000000" w:rsidP="00000000" w:rsidRDefault="00000000" w:rsidRPr="00000000" w14:paraId="000004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The student is incorrect — in parallel, equal resistors give R_eq = R/n² for n parts; so R' = R/25, making R/R' = 25</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4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4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Error: the answer R/R' = 25 is correct but the formula 'R/n²' is an incorrectly stated generalisation — students may get the right number through a wrong shortcut formula without understanding the actual derivation.</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4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Distractor 3</w:t>
            </w:r>
          </w:p>
        </w:tc>
        <w:tc>
          <w:tcPr>
            <w:shd w:fill="auto" w:val="clear"/>
            <w:tcMar>
              <w:top w:w="100.0" w:type="dxa"/>
              <w:left w:w="100.0" w:type="dxa"/>
              <w:bottom w:w="100.0" w:type="dxa"/>
              <w:right w:w="100.0" w:type="dxa"/>
            </w:tcMar>
            <w:vAlign w:val="top"/>
          </w:tcPr>
          <w:p w:rsidR="00000000" w:rsidDel="00000000" w:rsidP="00000000" w:rsidRDefault="00000000" w:rsidRPr="00000000" w14:paraId="000004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The student is correct — R/R' = 5 because parallel combination always multiplies resistance</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4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Rationale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4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Error: students may recall that parallel combination reduces resistance and attempt to apply a simple multiplication factor of 5, confusing the formula for n equal resistors in parallel (R/n) with the additional step needed here.</w:t>
            </w:r>
          </w:p>
        </w:tc>
      </w:tr>
    </w:tbl>
    <w:p w:rsidR="00000000" w:rsidDel="00000000" w:rsidP="00000000" w:rsidRDefault="00000000" w:rsidRPr="00000000" w14:paraId="000004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4F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80" w:line="276" w:lineRule="auto"/>
        <w:ind w:left="0" w:right="0" w:firstLine="0"/>
        <w:jc w:val="left"/>
        <w:rPr>
          <w:b w:val="1"/>
          <w:bCs w:val="1"/>
        </w:rPr>
      </w:pPr>
      <w:r w:rsidDel="00000000" w:rsidR="00000000" w:rsidRPr="00000000">
        <w:rPr>
          <w:b w:val="1"/>
          <w:bCs w:val="1"/>
          <w:rtl w:val="0"/>
        </w:rPr>
        <w:t xml:space="preserve">Decision — mark x in the box next to your choice:</w:t>
      </w:r>
    </w:p>
    <w:tbl>
      <w:tblPr>
        <w:tblStyle w:val="Table128"/>
        <w:tblW w:w="81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900"/>
        <w:gridCol w:w="1800"/>
        <w:gridCol w:w="900"/>
        <w:gridCol w:w="1800"/>
        <w:gridCol w:w="900"/>
        <w:tblGridChange w:id="0">
          <w:tblGrid>
            <w:gridCol w:w="1800"/>
            <w:gridCol w:w="900"/>
            <w:gridCol w:w="1800"/>
            <w:gridCol w:w="900"/>
            <w:gridCol w:w="1800"/>
            <w:gridCol w:w="9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Accepted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Modified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Rejected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5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x</w:t>
            </w:r>
          </w:p>
        </w:tc>
      </w:tr>
    </w:tbl>
    <w:p w:rsidR="00000000" w:rsidDel="00000000" w:rsidP="00000000" w:rsidRDefault="00000000" w:rsidRPr="00000000" w14:paraId="000005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Confusing question and distractors.</w:t>
      </w:r>
    </w:p>
    <w:p w:rsidR="00000000" w:rsidDel="00000000" w:rsidP="00000000" w:rsidRDefault="00000000" w:rsidRPr="00000000" w14:paraId="000005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p w:rsidR="00000000" w:rsidDel="00000000" w:rsidP="00000000" w:rsidRDefault="00000000" w:rsidRPr="00000000" w14:paraId="000005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pict>
          <v:rect style="width:0.0pt;height:1.5pt" o:hr="t" o:hrstd="t" o:hralign="center" fillcolor="#A0A0A0" stroked="f"/>
        </w:pict>
      </w:r>
      <w:r w:rsidDel="00000000" w:rsidR="00000000" w:rsidRPr="00000000">
        <w:rPr>
          <w:rtl w:val="0"/>
        </w:rPr>
      </w:r>
    </w:p>
    <w:sectPr>
      <w:pgSz w:h="16834" w:w="11909"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Pr>
  </w:style>
  <w:style w:type="table" w:styleId="Table25">
    <w:basedOn w:val="TableNormal"/>
    <w:tblPr>
      <w:tblStyleRowBandSize w:val="1"/>
      <w:tblStyleColBandSize w:val="1"/>
    </w:tblPr>
  </w:style>
  <w:style w:type="table" w:styleId="Table26">
    <w:basedOn w:val="TableNormal"/>
    <w:tblPr>
      <w:tblStyleRowBandSize w:val="1"/>
      <w:tblStyleColBandSize w:val="1"/>
    </w:tblPr>
  </w:style>
  <w:style w:type="table" w:styleId="Table27">
    <w:basedOn w:val="TableNormal"/>
    <w:tblPr>
      <w:tblStyleRowBandSize w:val="1"/>
      <w:tblStyleColBandSize w:val="1"/>
    </w:tblPr>
  </w:style>
  <w:style w:type="table" w:styleId="Table28">
    <w:basedOn w:val="TableNormal"/>
    <w:tblPr>
      <w:tblStyleRowBandSize w:val="1"/>
      <w:tblStyleColBandSize w:val="1"/>
    </w:tblPr>
  </w:style>
  <w:style w:type="table" w:styleId="Table29">
    <w:basedOn w:val="TableNormal"/>
    <w:tblPr>
      <w:tblStyleRowBandSize w:val="1"/>
      <w:tblStyleColBandSize w:val="1"/>
    </w:tblPr>
  </w:style>
  <w:style w:type="table" w:styleId="Table30">
    <w:basedOn w:val="TableNormal"/>
    <w:tblPr>
      <w:tblStyleRowBandSize w:val="1"/>
      <w:tblStyleColBandSize w:val="1"/>
    </w:tblPr>
  </w:style>
  <w:style w:type="table" w:styleId="Table31">
    <w:basedOn w:val="TableNormal"/>
    <w:tblPr>
      <w:tblStyleRowBandSize w:val="1"/>
      <w:tblStyleColBandSize w:val="1"/>
    </w:tblPr>
  </w:style>
  <w:style w:type="table" w:styleId="Table32">
    <w:basedOn w:val="TableNormal"/>
    <w:tblPr>
      <w:tblStyleRowBandSize w:val="1"/>
      <w:tblStyleColBandSize w:val="1"/>
    </w:tblPr>
  </w:style>
  <w:style w:type="table" w:styleId="Table33">
    <w:basedOn w:val="TableNormal"/>
    <w:tblPr>
      <w:tblStyleRowBandSize w:val="1"/>
      <w:tblStyleColBandSize w:val="1"/>
    </w:tblPr>
  </w:style>
  <w:style w:type="table" w:styleId="Table34">
    <w:basedOn w:val="TableNormal"/>
    <w:tblPr>
      <w:tblStyleRowBandSize w:val="1"/>
      <w:tblStyleColBandSize w:val="1"/>
    </w:tblPr>
  </w:style>
  <w:style w:type="table" w:styleId="Table35">
    <w:basedOn w:val="TableNormal"/>
    <w:tblPr>
      <w:tblStyleRowBandSize w:val="1"/>
      <w:tblStyleColBandSize w:val="1"/>
    </w:tblPr>
  </w:style>
  <w:style w:type="table" w:styleId="Table36">
    <w:basedOn w:val="TableNormal"/>
    <w:tblPr>
      <w:tblStyleRowBandSize w:val="1"/>
      <w:tblStyleColBandSize w:val="1"/>
    </w:tblPr>
  </w:style>
  <w:style w:type="table" w:styleId="Table37">
    <w:basedOn w:val="TableNormal"/>
    <w:tblPr>
      <w:tblStyleRowBandSize w:val="1"/>
      <w:tblStyleColBandSize w:val="1"/>
    </w:tblPr>
  </w:style>
  <w:style w:type="table" w:styleId="Table38">
    <w:basedOn w:val="TableNormal"/>
    <w:tblPr>
      <w:tblStyleRowBandSize w:val="1"/>
      <w:tblStyleColBandSize w:val="1"/>
    </w:tblPr>
  </w:style>
  <w:style w:type="table" w:styleId="Table39">
    <w:basedOn w:val="TableNormal"/>
    <w:tblPr>
      <w:tblStyleRowBandSize w:val="1"/>
      <w:tblStyleColBandSize w:val="1"/>
    </w:tblPr>
  </w:style>
  <w:style w:type="table" w:styleId="Table40">
    <w:basedOn w:val="TableNormal"/>
    <w:tblPr>
      <w:tblStyleRowBandSize w:val="1"/>
      <w:tblStyleColBandSize w:val="1"/>
    </w:tblPr>
  </w:style>
  <w:style w:type="table" w:styleId="Table41">
    <w:basedOn w:val="TableNormal"/>
    <w:tblPr>
      <w:tblStyleRowBandSize w:val="1"/>
      <w:tblStyleColBandSize w:val="1"/>
    </w:tblPr>
  </w:style>
  <w:style w:type="table" w:styleId="Table42">
    <w:basedOn w:val="TableNormal"/>
    <w:tblPr>
      <w:tblStyleRowBandSize w:val="1"/>
      <w:tblStyleColBandSize w:val="1"/>
    </w:tblPr>
  </w:style>
  <w:style w:type="table" w:styleId="Table43">
    <w:basedOn w:val="TableNormal"/>
    <w:tblPr>
      <w:tblStyleRowBandSize w:val="1"/>
      <w:tblStyleColBandSize w:val="1"/>
    </w:tblPr>
  </w:style>
  <w:style w:type="table" w:styleId="Table44">
    <w:basedOn w:val="TableNormal"/>
    <w:tblPr>
      <w:tblStyleRowBandSize w:val="1"/>
      <w:tblStyleColBandSize w:val="1"/>
    </w:tblPr>
  </w:style>
  <w:style w:type="table" w:styleId="Table45">
    <w:basedOn w:val="TableNormal"/>
    <w:tblPr>
      <w:tblStyleRowBandSize w:val="1"/>
      <w:tblStyleColBandSize w:val="1"/>
    </w:tblPr>
  </w:style>
  <w:style w:type="table" w:styleId="Table46">
    <w:basedOn w:val="TableNormal"/>
    <w:tblPr>
      <w:tblStyleRowBandSize w:val="1"/>
      <w:tblStyleColBandSize w:val="1"/>
    </w:tblPr>
  </w:style>
  <w:style w:type="table" w:styleId="Table47">
    <w:basedOn w:val="TableNormal"/>
    <w:tblPr>
      <w:tblStyleRowBandSize w:val="1"/>
      <w:tblStyleColBandSize w:val="1"/>
    </w:tblPr>
  </w:style>
  <w:style w:type="table" w:styleId="Table48">
    <w:basedOn w:val="TableNormal"/>
    <w:tblPr>
      <w:tblStyleRowBandSize w:val="1"/>
      <w:tblStyleColBandSize w:val="1"/>
    </w:tblPr>
  </w:style>
  <w:style w:type="table" w:styleId="Table49">
    <w:basedOn w:val="TableNormal"/>
    <w:tblPr>
      <w:tblStyleRowBandSize w:val="1"/>
      <w:tblStyleColBandSize w:val="1"/>
    </w:tblPr>
  </w:style>
  <w:style w:type="table" w:styleId="Table50">
    <w:basedOn w:val="TableNormal"/>
    <w:tblPr>
      <w:tblStyleRowBandSize w:val="1"/>
      <w:tblStyleColBandSize w:val="1"/>
    </w:tblPr>
  </w:style>
  <w:style w:type="table" w:styleId="Table51">
    <w:basedOn w:val="TableNormal"/>
    <w:tblPr>
      <w:tblStyleRowBandSize w:val="1"/>
      <w:tblStyleColBandSize w:val="1"/>
    </w:tblPr>
  </w:style>
  <w:style w:type="table" w:styleId="Table52">
    <w:basedOn w:val="TableNormal"/>
    <w:tblPr>
      <w:tblStyleRowBandSize w:val="1"/>
      <w:tblStyleColBandSize w:val="1"/>
    </w:tblPr>
  </w:style>
  <w:style w:type="table" w:styleId="Table53">
    <w:basedOn w:val="TableNormal"/>
    <w:tblPr>
      <w:tblStyleRowBandSize w:val="1"/>
      <w:tblStyleColBandSize w:val="1"/>
    </w:tblPr>
  </w:style>
  <w:style w:type="table" w:styleId="Table54">
    <w:basedOn w:val="TableNormal"/>
    <w:tblPr>
      <w:tblStyleRowBandSize w:val="1"/>
      <w:tblStyleColBandSize w:val="1"/>
    </w:tblPr>
  </w:style>
  <w:style w:type="table" w:styleId="Table55">
    <w:basedOn w:val="TableNormal"/>
    <w:tblPr>
      <w:tblStyleRowBandSize w:val="1"/>
      <w:tblStyleColBandSize w:val="1"/>
    </w:tblPr>
  </w:style>
  <w:style w:type="table" w:styleId="Table56">
    <w:basedOn w:val="TableNormal"/>
    <w:tblPr>
      <w:tblStyleRowBandSize w:val="1"/>
      <w:tblStyleColBandSize w:val="1"/>
    </w:tblPr>
  </w:style>
  <w:style w:type="table" w:styleId="Table57">
    <w:basedOn w:val="TableNormal"/>
    <w:tblPr>
      <w:tblStyleRowBandSize w:val="1"/>
      <w:tblStyleColBandSize w:val="1"/>
    </w:tblPr>
  </w:style>
  <w:style w:type="table" w:styleId="Table58">
    <w:basedOn w:val="TableNormal"/>
    <w:tblPr>
      <w:tblStyleRowBandSize w:val="1"/>
      <w:tblStyleColBandSize w:val="1"/>
    </w:tblPr>
  </w:style>
  <w:style w:type="table" w:styleId="Table59">
    <w:basedOn w:val="TableNormal"/>
    <w:tblPr>
      <w:tblStyleRowBandSize w:val="1"/>
      <w:tblStyleColBandSize w:val="1"/>
    </w:tblPr>
  </w:style>
  <w:style w:type="table" w:styleId="Table60">
    <w:basedOn w:val="TableNormal"/>
    <w:tblPr>
      <w:tblStyleRowBandSize w:val="1"/>
      <w:tblStyleColBandSize w:val="1"/>
    </w:tblPr>
  </w:style>
  <w:style w:type="table" w:styleId="Table61">
    <w:basedOn w:val="TableNormal"/>
    <w:tblPr>
      <w:tblStyleRowBandSize w:val="1"/>
      <w:tblStyleColBandSize w:val="1"/>
    </w:tblPr>
  </w:style>
  <w:style w:type="table" w:styleId="Table62">
    <w:basedOn w:val="TableNormal"/>
    <w:tblPr>
      <w:tblStyleRowBandSize w:val="1"/>
      <w:tblStyleColBandSize w:val="1"/>
    </w:tblPr>
  </w:style>
  <w:style w:type="table" w:styleId="Table63">
    <w:basedOn w:val="TableNormal"/>
    <w:tblPr>
      <w:tblStyleRowBandSize w:val="1"/>
      <w:tblStyleColBandSize w:val="1"/>
    </w:tblPr>
  </w:style>
  <w:style w:type="table" w:styleId="Table64">
    <w:basedOn w:val="TableNormal"/>
    <w:tblPr>
      <w:tblStyleRowBandSize w:val="1"/>
      <w:tblStyleColBandSize w:val="1"/>
    </w:tblPr>
  </w:style>
  <w:style w:type="table" w:styleId="Table65">
    <w:basedOn w:val="TableNormal"/>
    <w:tblPr>
      <w:tblStyleRowBandSize w:val="1"/>
      <w:tblStyleColBandSize w:val="1"/>
    </w:tblPr>
  </w:style>
  <w:style w:type="table" w:styleId="Table66">
    <w:basedOn w:val="TableNormal"/>
    <w:tblPr>
      <w:tblStyleRowBandSize w:val="1"/>
      <w:tblStyleColBandSize w:val="1"/>
    </w:tblPr>
  </w:style>
  <w:style w:type="table" w:styleId="Table67">
    <w:basedOn w:val="TableNormal"/>
    <w:tblPr>
      <w:tblStyleRowBandSize w:val="1"/>
      <w:tblStyleColBandSize w:val="1"/>
    </w:tblPr>
  </w:style>
  <w:style w:type="table" w:styleId="Table68">
    <w:basedOn w:val="TableNormal"/>
    <w:tblPr>
      <w:tblStyleRowBandSize w:val="1"/>
      <w:tblStyleColBandSize w:val="1"/>
    </w:tblPr>
  </w:style>
  <w:style w:type="table" w:styleId="Table69">
    <w:basedOn w:val="TableNormal"/>
    <w:tblPr>
      <w:tblStyleRowBandSize w:val="1"/>
      <w:tblStyleColBandSize w:val="1"/>
    </w:tblPr>
  </w:style>
  <w:style w:type="table" w:styleId="Table70">
    <w:basedOn w:val="TableNormal"/>
    <w:tblPr>
      <w:tblStyleRowBandSize w:val="1"/>
      <w:tblStyleColBandSize w:val="1"/>
    </w:tblPr>
  </w:style>
  <w:style w:type="table" w:styleId="Table71">
    <w:basedOn w:val="TableNormal"/>
    <w:tblPr>
      <w:tblStyleRowBandSize w:val="1"/>
      <w:tblStyleColBandSize w:val="1"/>
    </w:tblPr>
  </w:style>
  <w:style w:type="table" w:styleId="Table72">
    <w:basedOn w:val="TableNormal"/>
    <w:tblPr>
      <w:tblStyleRowBandSize w:val="1"/>
      <w:tblStyleColBandSize w:val="1"/>
    </w:tblPr>
  </w:style>
  <w:style w:type="table" w:styleId="Table73">
    <w:basedOn w:val="TableNormal"/>
    <w:tblPr>
      <w:tblStyleRowBandSize w:val="1"/>
      <w:tblStyleColBandSize w:val="1"/>
    </w:tblPr>
  </w:style>
  <w:style w:type="table" w:styleId="Table74">
    <w:basedOn w:val="TableNormal"/>
    <w:tblPr>
      <w:tblStyleRowBandSize w:val="1"/>
      <w:tblStyleColBandSize w:val="1"/>
    </w:tblPr>
  </w:style>
  <w:style w:type="table" w:styleId="Table75">
    <w:basedOn w:val="TableNormal"/>
    <w:tblPr>
      <w:tblStyleRowBandSize w:val="1"/>
      <w:tblStyleColBandSize w:val="1"/>
    </w:tblPr>
  </w:style>
  <w:style w:type="table" w:styleId="Table76">
    <w:basedOn w:val="TableNormal"/>
    <w:tblPr>
      <w:tblStyleRowBandSize w:val="1"/>
      <w:tblStyleColBandSize w:val="1"/>
    </w:tblPr>
  </w:style>
  <w:style w:type="table" w:styleId="Table77">
    <w:basedOn w:val="TableNormal"/>
    <w:tblPr>
      <w:tblStyleRowBandSize w:val="1"/>
      <w:tblStyleColBandSize w:val="1"/>
    </w:tblPr>
  </w:style>
  <w:style w:type="table" w:styleId="Table78">
    <w:basedOn w:val="TableNormal"/>
    <w:tblPr>
      <w:tblStyleRowBandSize w:val="1"/>
      <w:tblStyleColBandSize w:val="1"/>
    </w:tblPr>
  </w:style>
  <w:style w:type="table" w:styleId="Table79">
    <w:basedOn w:val="TableNormal"/>
    <w:tblPr>
      <w:tblStyleRowBandSize w:val="1"/>
      <w:tblStyleColBandSize w:val="1"/>
    </w:tblPr>
  </w:style>
  <w:style w:type="table" w:styleId="Table80">
    <w:basedOn w:val="TableNormal"/>
    <w:tblPr>
      <w:tblStyleRowBandSize w:val="1"/>
      <w:tblStyleColBandSize w:val="1"/>
    </w:tblPr>
  </w:style>
  <w:style w:type="table" w:styleId="Table81">
    <w:basedOn w:val="TableNormal"/>
    <w:tblPr>
      <w:tblStyleRowBandSize w:val="1"/>
      <w:tblStyleColBandSize w:val="1"/>
    </w:tblPr>
  </w:style>
  <w:style w:type="table" w:styleId="Table82">
    <w:basedOn w:val="TableNormal"/>
    <w:tblPr>
      <w:tblStyleRowBandSize w:val="1"/>
      <w:tblStyleColBandSize w:val="1"/>
    </w:tblPr>
  </w:style>
  <w:style w:type="table" w:styleId="Table83">
    <w:basedOn w:val="TableNormal"/>
    <w:tblPr>
      <w:tblStyleRowBandSize w:val="1"/>
      <w:tblStyleColBandSize w:val="1"/>
    </w:tblPr>
  </w:style>
  <w:style w:type="table" w:styleId="Table84">
    <w:basedOn w:val="TableNormal"/>
    <w:tblPr>
      <w:tblStyleRowBandSize w:val="1"/>
      <w:tblStyleColBandSize w:val="1"/>
    </w:tblPr>
  </w:style>
  <w:style w:type="table" w:styleId="Table85">
    <w:basedOn w:val="TableNormal"/>
    <w:tblPr>
      <w:tblStyleRowBandSize w:val="1"/>
      <w:tblStyleColBandSize w:val="1"/>
    </w:tblPr>
  </w:style>
  <w:style w:type="table" w:styleId="Table86">
    <w:basedOn w:val="TableNormal"/>
    <w:tblPr>
      <w:tblStyleRowBandSize w:val="1"/>
      <w:tblStyleColBandSize w:val="1"/>
    </w:tblPr>
  </w:style>
  <w:style w:type="table" w:styleId="Table87">
    <w:basedOn w:val="TableNormal"/>
    <w:tblPr>
      <w:tblStyleRowBandSize w:val="1"/>
      <w:tblStyleColBandSize w:val="1"/>
    </w:tblPr>
  </w:style>
  <w:style w:type="table" w:styleId="Table88">
    <w:basedOn w:val="TableNormal"/>
    <w:tblPr>
      <w:tblStyleRowBandSize w:val="1"/>
      <w:tblStyleColBandSize w:val="1"/>
    </w:tblPr>
  </w:style>
  <w:style w:type="table" w:styleId="Table89">
    <w:basedOn w:val="TableNormal"/>
    <w:tblPr>
      <w:tblStyleRowBandSize w:val="1"/>
      <w:tblStyleColBandSize w:val="1"/>
    </w:tblPr>
  </w:style>
  <w:style w:type="table" w:styleId="Table90">
    <w:basedOn w:val="TableNormal"/>
    <w:tblPr>
      <w:tblStyleRowBandSize w:val="1"/>
      <w:tblStyleColBandSize w:val="1"/>
    </w:tblPr>
  </w:style>
  <w:style w:type="table" w:styleId="Table91">
    <w:basedOn w:val="TableNormal"/>
    <w:tblPr>
      <w:tblStyleRowBandSize w:val="1"/>
      <w:tblStyleColBandSize w:val="1"/>
    </w:tblPr>
  </w:style>
  <w:style w:type="table" w:styleId="Table92">
    <w:basedOn w:val="TableNormal"/>
    <w:tblPr>
      <w:tblStyleRowBandSize w:val="1"/>
      <w:tblStyleColBandSize w:val="1"/>
    </w:tblPr>
  </w:style>
  <w:style w:type="table" w:styleId="Table93">
    <w:basedOn w:val="TableNormal"/>
    <w:tblPr>
      <w:tblStyleRowBandSize w:val="1"/>
      <w:tblStyleColBandSize w:val="1"/>
    </w:tblPr>
  </w:style>
  <w:style w:type="table" w:styleId="Table94">
    <w:basedOn w:val="TableNormal"/>
    <w:tblPr>
      <w:tblStyleRowBandSize w:val="1"/>
      <w:tblStyleColBandSize w:val="1"/>
    </w:tblPr>
  </w:style>
  <w:style w:type="table" w:styleId="Table95">
    <w:basedOn w:val="TableNormal"/>
    <w:tblPr>
      <w:tblStyleRowBandSize w:val="1"/>
      <w:tblStyleColBandSize w:val="1"/>
    </w:tblPr>
  </w:style>
  <w:style w:type="table" w:styleId="Table96">
    <w:basedOn w:val="TableNormal"/>
    <w:tblPr>
      <w:tblStyleRowBandSize w:val="1"/>
      <w:tblStyleColBandSize w:val="1"/>
    </w:tblPr>
  </w:style>
  <w:style w:type="table" w:styleId="Table97">
    <w:basedOn w:val="TableNormal"/>
    <w:tblPr>
      <w:tblStyleRowBandSize w:val="1"/>
      <w:tblStyleColBandSize w:val="1"/>
    </w:tblPr>
  </w:style>
  <w:style w:type="table" w:styleId="Table98">
    <w:basedOn w:val="TableNormal"/>
    <w:tblPr>
      <w:tblStyleRowBandSize w:val="1"/>
      <w:tblStyleColBandSize w:val="1"/>
    </w:tblPr>
  </w:style>
  <w:style w:type="table" w:styleId="Table99">
    <w:basedOn w:val="TableNormal"/>
    <w:tblPr>
      <w:tblStyleRowBandSize w:val="1"/>
      <w:tblStyleColBandSize w:val="1"/>
    </w:tblPr>
  </w:style>
  <w:style w:type="table" w:styleId="Table100">
    <w:basedOn w:val="TableNormal"/>
    <w:tblPr>
      <w:tblStyleRowBandSize w:val="1"/>
      <w:tblStyleColBandSize w:val="1"/>
    </w:tblPr>
  </w:style>
  <w:style w:type="table" w:styleId="Table101">
    <w:basedOn w:val="TableNormal"/>
    <w:tblPr>
      <w:tblStyleRowBandSize w:val="1"/>
      <w:tblStyleColBandSize w:val="1"/>
    </w:tblPr>
  </w:style>
  <w:style w:type="table" w:styleId="Table102">
    <w:basedOn w:val="TableNormal"/>
    <w:tblPr>
      <w:tblStyleRowBandSize w:val="1"/>
      <w:tblStyleColBandSize w:val="1"/>
    </w:tblPr>
  </w:style>
  <w:style w:type="table" w:styleId="Table103">
    <w:basedOn w:val="TableNormal"/>
    <w:tblPr>
      <w:tblStyleRowBandSize w:val="1"/>
      <w:tblStyleColBandSize w:val="1"/>
    </w:tblPr>
  </w:style>
  <w:style w:type="table" w:styleId="Table104">
    <w:basedOn w:val="TableNormal"/>
    <w:tblPr>
      <w:tblStyleRowBandSize w:val="1"/>
      <w:tblStyleColBandSize w:val="1"/>
    </w:tblPr>
  </w:style>
  <w:style w:type="table" w:styleId="Table105">
    <w:basedOn w:val="TableNormal"/>
    <w:tblPr>
      <w:tblStyleRowBandSize w:val="1"/>
      <w:tblStyleColBandSize w:val="1"/>
    </w:tblPr>
  </w:style>
  <w:style w:type="table" w:styleId="Table106">
    <w:basedOn w:val="TableNormal"/>
    <w:tblPr>
      <w:tblStyleRowBandSize w:val="1"/>
      <w:tblStyleColBandSize w:val="1"/>
    </w:tblPr>
  </w:style>
  <w:style w:type="table" w:styleId="Table107">
    <w:basedOn w:val="TableNormal"/>
    <w:tblPr>
      <w:tblStyleRowBandSize w:val="1"/>
      <w:tblStyleColBandSize w:val="1"/>
    </w:tblPr>
  </w:style>
  <w:style w:type="table" w:styleId="Table108">
    <w:basedOn w:val="TableNormal"/>
    <w:tblPr>
      <w:tblStyleRowBandSize w:val="1"/>
      <w:tblStyleColBandSize w:val="1"/>
    </w:tblPr>
  </w:style>
  <w:style w:type="table" w:styleId="Table109">
    <w:basedOn w:val="TableNormal"/>
    <w:tblPr>
      <w:tblStyleRowBandSize w:val="1"/>
      <w:tblStyleColBandSize w:val="1"/>
    </w:tblPr>
  </w:style>
  <w:style w:type="table" w:styleId="Table110">
    <w:basedOn w:val="TableNormal"/>
    <w:tblPr>
      <w:tblStyleRowBandSize w:val="1"/>
      <w:tblStyleColBandSize w:val="1"/>
    </w:tblPr>
  </w:style>
  <w:style w:type="table" w:styleId="Table111">
    <w:basedOn w:val="TableNormal"/>
    <w:tblPr>
      <w:tblStyleRowBandSize w:val="1"/>
      <w:tblStyleColBandSize w:val="1"/>
    </w:tblPr>
  </w:style>
  <w:style w:type="table" w:styleId="Table112">
    <w:basedOn w:val="TableNormal"/>
    <w:tblPr>
      <w:tblStyleRowBandSize w:val="1"/>
      <w:tblStyleColBandSize w:val="1"/>
    </w:tblPr>
  </w:style>
  <w:style w:type="table" w:styleId="Table113">
    <w:basedOn w:val="TableNormal"/>
    <w:tblPr>
      <w:tblStyleRowBandSize w:val="1"/>
      <w:tblStyleColBandSize w:val="1"/>
    </w:tblPr>
  </w:style>
  <w:style w:type="table" w:styleId="Table114">
    <w:basedOn w:val="TableNormal"/>
    <w:tblPr>
      <w:tblStyleRowBandSize w:val="1"/>
      <w:tblStyleColBandSize w:val="1"/>
    </w:tblPr>
  </w:style>
  <w:style w:type="table" w:styleId="Table115">
    <w:basedOn w:val="TableNormal"/>
    <w:tblPr>
      <w:tblStyleRowBandSize w:val="1"/>
      <w:tblStyleColBandSize w:val="1"/>
    </w:tblPr>
  </w:style>
  <w:style w:type="table" w:styleId="Table116">
    <w:basedOn w:val="TableNormal"/>
    <w:tblPr>
      <w:tblStyleRowBandSize w:val="1"/>
      <w:tblStyleColBandSize w:val="1"/>
    </w:tblPr>
  </w:style>
  <w:style w:type="table" w:styleId="Table117">
    <w:basedOn w:val="TableNormal"/>
    <w:tblPr>
      <w:tblStyleRowBandSize w:val="1"/>
      <w:tblStyleColBandSize w:val="1"/>
    </w:tblPr>
  </w:style>
  <w:style w:type="table" w:styleId="Table118">
    <w:basedOn w:val="TableNormal"/>
    <w:tblPr>
      <w:tblStyleRowBandSize w:val="1"/>
      <w:tblStyleColBandSize w:val="1"/>
    </w:tblPr>
  </w:style>
  <w:style w:type="table" w:styleId="Table119">
    <w:basedOn w:val="TableNormal"/>
    <w:tblPr>
      <w:tblStyleRowBandSize w:val="1"/>
      <w:tblStyleColBandSize w:val="1"/>
    </w:tblPr>
  </w:style>
  <w:style w:type="table" w:styleId="Table120">
    <w:basedOn w:val="TableNormal"/>
    <w:tblPr>
      <w:tblStyleRowBandSize w:val="1"/>
      <w:tblStyleColBandSize w:val="1"/>
    </w:tblPr>
  </w:style>
  <w:style w:type="table" w:styleId="Table121">
    <w:basedOn w:val="TableNormal"/>
    <w:tblPr>
      <w:tblStyleRowBandSize w:val="1"/>
      <w:tblStyleColBandSize w:val="1"/>
    </w:tblPr>
  </w:style>
  <w:style w:type="table" w:styleId="Table122">
    <w:basedOn w:val="TableNormal"/>
    <w:tblPr>
      <w:tblStyleRowBandSize w:val="1"/>
      <w:tblStyleColBandSize w:val="1"/>
    </w:tblPr>
  </w:style>
  <w:style w:type="table" w:styleId="Table123">
    <w:basedOn w:val="TableNormal"/>
    <w:tblPr>
      <w:tblStyleRowBandSize w:val="1"/>
      <w:tblStyleColBandSize w:val="1"/>
    </w:tblPr>
  </w:style>
  <w:style w:type="table" w:styleId="Table124">
    <w:basedOn w:val="TableNormal"/>
    <w:tblPr>
      <w:tblStyleRowBandSize w:val="1"/>
      <w:tblStyleColBandSize w:val="1"/>
    </w:tblPr>
  </w:style>
  <w:style w:type="table" w:styleId="Table125">
    <w:basedOn w:val="TableNormal"/>
    <w:tblPr>
      <w:tblStyleRowBandSize w:val="1"/>
      <w:tblStyleColBandSize w:val="1"/>
    </w:tblPr>
  </w:style>
  <w:style w:type="table" w:styleId="Table126">
    <w:basedOn w:val="TableNormal"/>
    <w:tblPr>
      <w:tblStyleRowBandSize w:val="1"/>
      <w:tblStyleColBandSize w:val="1"/>
    </w:tblPr>
  </w:style>
  <w:style w:type="table" w:styleId="Table127">
    <w:basedOn w:val="TableNormal"/>
    <w:tblPr>
      <w:tblStyleRowBandSize w:val="1"/>
      <w:tblStyleColBandSize w:val="1"/>
    </w:tblPr>
  </w:style>
  <w:style w:type="table" w:styleId="Table128">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